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17F560" w14:textId="6D0F38CB" w:rsidR="00EE2B77" w:rsidRDefault="009A27ED">
      <w:pPr>
        <w:spacing w:line="276" w:lineRule="auto"/>
        <w:jc w:val="center"/>
        <w:rPr>
          <w:sz w:val="22"/>
          <w:szCs w:val="22"/>
          <w:highlight w:val="white"/>
        </w:rPr>
      </w:pPr>
      <w:bookmarkStart w:id="0" w:name="_heading=h.30j0zll" w:colFirst="0" w:colLast="0"/>
      <w:bookmarkStart w:id="1" w:name="_GoBack"/>
      <w:bookmarkEnd w:id="0"/>
      <w:bookmarkEnd w:id="1"/>
      <w:r>
        <w:rPr>
          <w:noProof/>
          <w:lang w:val="es-419" w:eastAsia="es-419"/>
        </w:rPr>
        <w:drawing>
          <wp:anchor distT="0" distB="0" distL="114300" distR="114300" simplePos="0" relativeHeight="251658240" behindDoc="1" locked="0" layoutInCell="1" allowOverlap="1" wp14:anchorId="60CE83C3" wp14:editId="539D14D8">
            <wp:simplePos x="0" y="0"/>
            <wp:positionH relativeFrom="margin">
              <wp:align>right</wp:align>
            </wp:positionH>
            <wp:positionV relativeFrom="paragraph">
              <wp:posOffset>-361950</wp:posOffset>
            </wp:positionV>
            <wp:extent cx="1742227" cy="70929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742227" cy="709295"/>
                    </a:xfrm>
                    <a:prstGeom prst="rect">
                      <a:avLst/>
                    </a:prstGeom>
                  </pic:spPr>
                </pic:pic>
              </a:graphicData>
            </a:graphic>
            <wp14:sizeRelH relativeFrom="margin">
              <wp14:pctWidth>0</wp14:pctWidth>
            </wp14:sizeRelH>
            <wp14:sizeRelV relativeFrom="margin">
              <wp14:pctHeight>0</wp14:pctHeight>
            </wp14:sizeRelV>
          </wp:anchor>
        </w:drawing>
      </w:r>
    </w:p>
    <w:p w14:paraId="352D473B" w14:textId="77777777" w:rsidR="00EE2B77" w:rsidRPr="00EE2B77" w:rsidRDefault="00EE2B77" w:rsidP="00EE2B77">
      <w:pPr>
        <w:jc w:val="center"/>
        <w:rPr>
          <w:rFonts w:ascii="Times New Roman" w:eastAsia="Times New Roman" w:hAnsi="Times New Roman" w:cs="Times New Roman"/>
          <w:color w:val="auto"/>
          <w:lang w:val="es-CO"/>
        </w:rPr>
      </w:pPr>
      <w:r w:rsidRPr="00EE2B77">
        <w:rPr>
          <w:rFonts w:ascii="Times New Roman" w:eastAsia="Times New Roman" w:hAnsi="Times New Roman" w:cs="Times New Roman"/>
          <w:b/>
          <w:bCs/>
          <w:lang w:val="es-CO"/>
        </w:rPr>
        <w:t>MEMORANDO</w:t>
      </w:r>
    </w:p>
    <w:p w14:paraId="251276BB" w14:textId="77777777" w:rsidR="00EE2B77" w:rsidRPr="00EE2B77" w:rsidRDefault="00EE2B77" w:rsidP="00EE2B77">
      <w:pPr>
        <w:rPr>
          <w:rFonts w:ascii="Times New Roman" w:eastAsia="Times New Roman" w:hAnsi="Times New Roman" w:cs="Times New Roman"/>
          <w:color w:val="auto"/>
          <w:lang w:val="es-CO"/>
        </w:rPr>
      </w:pPr>
    </w:p>
    <w:p w14:paraId="5061A4AC"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  </w:t>
      </w:r>
    </w:p>
    <w:p w14:paraId="4CF731ED"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b/>
          <w:bCs/>
          <w:lang w:val="es-CO"/>
        </w:rPr>
        <w:t>PARA:</w:t>
      </w:r>
      <w:r w:rsidRPr="00EE2B77">
        <w:rPr>
          <w:rFonts w:ascii="Times New Roman" w:eastAsia="Times New Roman" w:hAnsi="Times New Roman" w:cs="Times New Roman"/>
          <w:lang w:val="es-CO"/>
        </w:rPr>
        <w:t xml:space="preserve">           </w:t>
      </w:r>
      <w:r w:rsidRPr="00EE2B77">
        <w:rPr>
          <w:rFonts w:ascii="Times New Roman" w:eastAsia="Times New Roman" w:hAnsi="Times New Roman" w:cs="Times New Roman"/>
          <w:lang w:val="es-CO"/>
        </w:rPr>
        <w:tab/>
      </w:r>
      <w:r w:rsidRPr="00EE2B77">
        <w:rPr>
          <w:rFonts w:ascii="Times New Roman" w:eastAsia="Times New Roman" w:hAnsi="Times New Roman" w:cs="Times New Roman"/>
          <w:b/>
          <w:bCs/>
          <w:lang w:val="es-CO"/>
        </w:rPr>
        <w:t>DAVID ANTONIO GARZÓN FANDIÑO   </w:t>
      </w:r>
    </w:p>
    <w:p w14:paraId="424329F6"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                      </w:t>
      </w:r>
      <w:r w:rsidRPr="00EE2B77">
        <w:rPr>
          <w:rFonts w:ascii="Times New Roman" w:eastAsia="Times New Roman" w:hAnsi="Times New Roman" w:cs="Times New Roman"/>
          <w:lang w:val="es-CO"/>
        </w:rPr>
        <w:tab/>
        <w:t>Secretario Comisión Segunda Permanente de Gobierno</w:t>
      </w:r>
      <w:r w:rsidRPr="00EE2B77">
        <w:rPr>
          <w:rFonts w:ascii="Times New Roman" w:eastAsia="Times New Roman" w:hAnsi="Times New Roman" w:cs="Times New Roman"/>
          <w:lang w:val="es-CO"/>
        </w:rPr>
        <w:tab/>
      </w:r>
    </w:p>
    <w:p w14:paraId="25ADAC8B"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       </w:t>
      </w:r>
    </w:p>
    <w:p w14:paraId="12C112BC" w14:textId="77777777" w:rsidR="00EE2B77" w:rsidRDefault="00EE2B77" w:rsidP="00EE2B77">
      <w:pPr>
        <w:rPr>
          <w:rFonts w:ascii="Times New Roman" w:eastAsia="Times New Roman" w:hAnsi="Times New Roman" w:cs="Times New Roman"/>
          <w:lang w:val="es-CO"/>
        </w:rPr>
      </w:pPr>
      <w:r w:rsidRPr="00EE2B77">
        <w:rPr>
          <w:rFonts w:ascii="Times New Roman" w:eastAsia="Times New Roman" w:hAnsi="Times New Roman" w:cs="Times New Roman"/>
          <w:b/>
          <w:bCs/>
          <w:lang w:val="es-CO"/>
        </w:rPr>
        <w:t>DE:</w:t>
      </w:r>
      <w:r w:rsidRPr="00EE2B77">
        <w:rPr>
          <w:rFonts w:ascii="Times New Roman" w:eastAsia="Times New Roman" w:hAnsi="Times New Roman" w:cs="Times New Roman"/>
          <w:lang w:val="es-CO"/>
        </w:rPr>
        <w:t xml:space="preserve">               </w:t>
      </w:r>
      <w:r w:rsidRPr="00EE2B77">
        <w:rPr>
          <w:rFonts w:ascii="Times New Roman" w:eastAsia="Times New Roman" w:hAnsi="Times New Roman" w:cs="Times New Roman"/>
          <w:lang w:val="es-CO"/>
        </w:rPr>
        <w:tab/>
        <w:t>H.C. JULIÁN USCÁTEGUI PASTRANA</w:t>
      </w:r>
    </w:p>
    <w:p w14:paraId="13F87FA8"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                     </w:t>
      </w:r>
      <w:r w:rsidRPr="00EE2B77">
        <w:rPr>
          <w:rFonts w:ascii="Times New Roman" w:eastAsia="Times New Roman" w:hAnsi="Times New Roman" w:cs="Times New Roman"/>
          <w:lang w:val="es-CO"/>
        </w:rPr>
        <w:tab/>
      </w:r>
    </w:p>
    <w:p w14:paraId="3F45FCD7"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 </w:t>
      </w:r>
    </w:p>
    <w:p w14:paraId="7B018F68" w14:textId="66434EF5"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b/>
          <w:bCs/>
          <w:lang w:val="es-CO"/>
        </w:rPr>
        <w:t>ASUNTO:</w:t>
      </w:r>
      <w:r w:rsidRPr="00EE2B77">
        <w:rPr>
          <w:rFonts w:ascii="Times New Roman" w:eastAsia="Times New Roman" w:hAnsi="Times New Roman" w:cs="Times New Roman"/>
          <w:lang w:val="es-CO"/>
        </w:rPr>
        <w:t xml:space="preserve">  </w:t>
      </w:r>
      <w:r w:rsidRPr="00EE2B77">
        <w:rPr>
          <w:rFonts w:ascii="Times New Roman" w:eastAsia="Times New Roman" w:hAnsi="Times New Roman" w:cs="Times New Roman"/>
          <w:lang w:val="es-CO"/>
        </w:rPr>
        <w:tab/>
        <w:t>Ponencia positiva</w:t>
      </w:r>
      <w:r w:rsidR="00CF5211">
        <w:rPr>
          <w:rFonts w:ascii="Times New Roman" w:eastAsia="Times New Roman" w:hAnsi="Times New Roman" w:cs="Times New Roman"/>
          <w:lang w:val="es-CO"/>
        </w:rPr>
        <w:t xml:space="preserve"> con modificaciones</w:t>
      </w:r>
      <w:r w:rsidRPr="00EE2B77">
        <w:rPr>
          <w:rFonts w:ascii="Times New Roman" w:eastAsia="Times New Roman" w:hAnsi="Times New Roman" w:cs="Times New Roman"/>
          <w:lang w:val="es-CO"/>
        </w:rPr>
        <w:t xml:space="preserve"> a</w:t>
      </w:r>
      <w:r w:rsidR="00CC3383">
        <w:rPr>
          <w:rFonts w:ascii="Times New Roman" w:eastAsia="Times New Roman" w:hAnsi="Times New Roman" w:cs="Times New Roman"/>
          <w:lang w:val="es-CO"/>
        </w:rPr>
        <w:t>l Proyecto de Acuerdo No. 471</w:t>
      </w:r>
      <w:r w:rsidR="006F54E8">
        <w:rPr>
          <w:rFonts w:ascii="Times New Roman" w:eastAsia="Times New Roman" w:hAnsi="Times New Roman" w:cs="Times New Roman"/>
          <w:lang w:val="es-CO"/>
        </w:rPr>
        <w:t xml:space="preserve"> de 2025.</w:t>
      </w:r>
    </w:p>
    <w:p w14:paraId="05E777AE" w14:textId="77777777" w:rsidR="00EE2B77" w:rsidRPr="00EE2B77" w:rsidRDefault="00EE2B77" w:rsidP="00EE2B77">
      <w:pPr>
        <w:rPr>
          <w:rFonts w:ascii="Times New Roman" w:eastAsia="Times New Roman" w:hAnsi="Times New Roman" w:cs="Times New Roman"/>
          <w:color w:val="auto"/>
          <w:lang w:val="es-CO"/>
        </w:rPr>
      </w:pPr>
    </w:p>
    <w:p w14:paraId="1BE6FB18"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 </w:t>
      </w:r>
    </w:p>
    <w:p w14:paraId="073B99FE"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Apreciado Dr. Garzón,</w:t>
      </w:r>
    </w:p>
    <w:p w14:paraId="148F69B0"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 </w:t>
      </w:r>
    </w:p>
    <w:p w14:paraId="46DB549B" w14:textId="187D698B" w:rsidR="00CC3383" w:rsidRPr="00CC3383" w:rsidRDefault="00EE2B77" w:rsidP="00EE2B77">
      <w:pPr>
        <w:jc w:val="both"/>
        <w:rPr>
          <w:rFonts w:ascii="Times New Roman" w:eastAsia="Times New Roman" w:hAnsi="Times New Roman" w:cs="Times New Roman"/>
          <w:lang w:val="es-CO"/>
        </w:rPr>
      </w:pPr>
      <w:r w:rsidRPr="00EE2B77">
        <w:rPr>
          <w:rFonts w:ascii="Times New Roman" w:eastAsia="Times New Roman" w:hAnsi="Times New Roman" w:cs="Times New Roman"/>
          <w:lang w:val="es-CO"/>
        </w:rPr>
        <w:t xml:space="preserve">Reciba un cordial saludo. </w:t>
      </w:r>
      <w:r w:rsidR="003F1FC3" w:rsidRPr="003F1FC3">
        <w:rPr>
          <w:rFonts w:ascii="Times New Roman" w:eastAsia="Times New Roman" w:hAnsi="Times New Roman" w:cs="Times New Roman"/>
          <w:lang w:val="es-CO"/>
        </w:rPr>
        <w:t xml:space="preserve">De conformidad con lo señalado en el Artículo 71 del Acuerdo 741 de 2019, de manera atenta, </w:t>
      </w:r>
      <w:r w:rsidR="00CF12C0">
        <w:rPr>
          <w:rFonts w:ascii="Times New Roman" w:eastAsia="Times New Roman" w:hAnsi="Times New Roman" w:cs="Times New Roman"/>
          <w:lang w:val="es-CO"/>
        </w:rPr>
        <w:t>me permito</w:t>
      </w:r>
      <w:r w:rsidR="003F1FC3" w:rsidRPr="003F1FC3">
        <w:rPr>
          <w:rFonts w:ascii="Times New Roman" w:eastAsia="Times New Roman" w:hAnsi="Times New Roman" w:cs="Times New Roman"/>
          <w:lang w:val="es-CO"/>
        </w:rPr>
        <w:t xml:space="preserve"> radicar en medio magnético ante su despacho Ponencia</w:t>
      </w:r>
      <w:r w:rsidR="003F1FC3">
        <w:rPr>
          <w:rFonts w:ascii="Times New Roman" w:eastAsia="Times New Roman" w:hAnsi="Times New Roman" w:cs="Times New Roman"/>
          <w:lang w:val="es-CO"/>
        </w:rPr>
        <w:t xml:space="preserve"> Positiva con modificaciones a</w:t>
      </w:r>
      <w:r w:rsidR="00CC3383">
        <w:rPr>
          <w:rFonts w:ascii="Times New Roman" w:eastAsia="Times New Roman" w:hAnsi="Times New Roman" w:cs="Times New Roman"/>
          <w:lang w:val="es-CO"/>
        </w:rPr>
        <w:t>l Proyecto de Acuerdo 471</w:t>
      </w:r>
      <w:r w:rsidR="006F54E8">
        <w:rPr>
          <w:rFonts w:ascii="Times New Roman" w:eastAsia="Times New Roman" w:hAnsi="Times New Roman" w:cs="Times New Roman"/>
          <w:lang w:val="es-CO"/>
        </w:rPr>
        <w:t xml:space="preserve"> de 2025 “</w:t>
      </w:r>
      <w:r w:rsidR="00CC3383" w:rsidRPr="00CC3383">
        <w:rPr>
          <w:rFonts w:ascii="Times New Roman" w:eastAsia="Times New Roman" w:hAnsi="Times New Roman" w:cs="Times New Roman"/>
          <w:i/>
          <w:lang w:val="es-CO"/>
        </w:rPr>
        <w:t>Por el cual se establece un protocolo para gestionar la fatiga y cansancio en los conductores que operan en los terminales de transporte terrestre automotor de pasajeros por carretera y se dictan otras disposiciones</w:t>
      </w:r>
      <w:r w:rsidR="00CC3383">
        <w:rPr>
          <w:rFonts w:ascii="Times New Roman" w:eastAsia="Times New Roman" w:hAnsi="Times New Roman" w:cs="Times New Roman"/>
          <w:lang w:val="es-CO"/>
        </w:rPr>
        <w:t>”.</w:t>
      </w:r>
    </w:p>
    <w:p w14:paraId="205076EA" w14:textId="1A74A677" w:rsidR="003F1FC3" w:rsidRDefault="003F1FC3" w:rsidP="00EE2B77">
      <w:pPr>
        <w:jc w:val="both"/>
        <w:rPr>
          <w:rFonts w:ascii="Times New Roman" w:eastAsia="Times New Roman" w:hAnsi="Times New Roman" w:cs="Times New Roman"/>
          <w:lang w:val="es-CO"/>
        </w:rPr>
      </w:pPr>
    </w:p>
    <w:p w14:paraId="49EEC52D" w14:textId="77777777" w:rsidR="00EE2B77" w:rsidRPr="00EE2B77" w:rsidRDefault="00EE2B77" w:rsidP="00EE2B77">
      <w:pPr>
        <w:rPr>
          <w:rFonts w:ascii="Times New Roman" w:eastAsia="Times New Roman" w:hAnsi="Times New Roman" w:cs="Times New Roman"/>
          <w:color w:val="auto"/>
          <w:lang w:val="es-CO"/>
        </w:rPr>
      </w:pPr>
    </w:p>
    <w:p w14:paraId="680F24D7"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Agradezco su amable gestión.</w:t>
      </w:r>
    </w:p>
    <w:p w14:paraId="28052F9D"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 </w:t>
      </w:r>
    </w:p>
    <w:p w14:paraId="6A0055E7" w14:textId="77777777" w:rsidR="00EE2B77" w:rsidRPr="00EE2B77" w:rsidRDefault="00EE2B77" w:rsidP="00EE2B77">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Cordialmente,</w:t>
      </w:r>
    </w:p>
    <w:p w14:paraId="29EC5DC7" w14:textId="77777777" w:rsidR="00EE2B77" w:rsidRPr="00EE2B77" w:rsidRDefault="00EE2B77" w:rsidP="00EE2B77">
      <w:pPr>
        <w:spacing w:after="240"/>
        <w:rPr>
          <w:rFonts w:ascii="Times New Roman" w:eastAsia="Times New Roman" w:hAnsi="Times New Roman" w:cs="Times New Roman"/>
          <w:color w:val="auto"/>
          <w:lang w:val="es-CO"/>
        </w:rPr>
      </w:pPr>
      <w:r w:rsidRPr="00EE2B77">
        <w:rPr>
          <w:rFonts w:ascii="Times New Roman" w:eastAsia="Times New Roman" w:hAnsi="Times New Roman" w:cs="Times New Roman"/>
          <w:color w:val="auto"/>
          <w:lang w:val="es-CO"/>
        </w:rPr>
        <w:br/>
      </w:r>
      <w:r w:rsidRPr="00EE2B77">
        <w:rPr>
          <w:rFonts w:ascii="Times New Roman" w:eastAsia="Times New Roman" w:hAnsi="Times New Roman" w:cs="Times New Roman"/>
          <w:color w:val="auto"/>
          <w:lang w:val="es-CO"/>
        </w:rPr>
        <w:br/>
      </w:r>
    </w:p>
    <w:p w14:paraId="6BD6737B" w14:textId="77777777" w:rsidR="00A06E1B" w:rsidRPr="00EE2B77" w:rsidRDefault="00EE2B77" w:rsidP="00A06E1B">
      <w:pPr>
        <w:rPr>
          <w:rFonts w:ascii="Times New Roman" w:eastAsia="Times New Roman" w:hAnsi="Times New Roman" w:cs="Times New Roman"/>
          <w:color w:val="auto"/>
          <w:lang w:val="es-CO"/>
        </w:rPr>
      </w:pPr>
      <w:r w:rsidRPr="00EE2B77">
        <w:rPr>
          <w:rFonts w:ascii="Times New Roman" w:eastAsia="Times New Roman" w:hAnsi="Times New Roman" w:cs="Times New Roman"/>
          <w:b/>
          <w:bCs/>
          <w:lang w:val="es-CO"/>
        </w:rPr>
        <w:t>JULIAN USCATEGUI PASTRANA        </w:t>
      </w:r>
    </w:p>
    <w:p w14:paraId="1D192DDF" w14:textId="77777777" w:rsidR="00A06E1B" w:rsidRPr="00EE2B77" w:rsidRDefault="00A06E1B" w:rsidP="00A06E1B">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Concejal de Bogotá, D.C.                        </w:t>
      </w:r>
      <w:r>
        <w:rPr>
          <w:rFonts w:ascii="Times New Roman" w:eastAsia="Times New Roman" w:hAnsi="Times New Roman" w:cs="Times New Roman"/>
          <w:lang w:val="es-CO"/>
        </w:rPr>
        <w:t xml:space="preserve">     </w:t>
      </w:r>
    </w:p>
    <w:p w14:paraId="6A0184F9" w14:textId="77777777" w:rsidR="00EE2B77" w:rsidRPr="00CF5211" w:rsidRDefault="00A06E1B" w:rsidP="00CF5211">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Centro Democrático                             </w:t>
      </w:r>
      <w:r w:rsidR="00CF5211">
        <w:rPr>
          <w:rFonts w:ascii="Times New Roman" w:eastAsia="Times New Roman" w:hAnsi="Times New Roman" w:cs="Times New Roman"/>
          <w:lang w:val="es-CO"/>
        </w:rPr>
        <w:t xml:space="preserve">         </w:t>
      </w:r>
    </w:p>
    <w:p w14:paraId="575730CD" w14:textId="0D07978E" w:rsidR="00EE2B77" w:rsidRDefault="00EE2B77" w:rsidP="006F54E8">
      <w:pPr>
        <w:spacing w:line="276" w:lineRule="auto"/>
        <w:rPr>
          <w:sz w:val="22"/>
          <w:szCs w:val="22"/>
          <w:highlight w:val="white"/>
        </w:rPr>
      </w:pPr>
    </w:p>
    <w:p w14:paraId="774DE20C" w14:textId="77777777" w:rsidR="006F54E8" w:rsidRDefault="006F54E8" w:rsidP="006F54E8">
      <w:pPr>
        <w:spacing w:line="276" w:lineRule="auto"/>
        <w:rPr>
          <w:sz w:val="22"/>
          <w:szCs w:val="22"/>
          <w:highlight w:val="white"/>
        </w:rPr>
      </w:pPr>
    </w:p>
    <w:p w14:paraId="46F81B56" w14:textId="77777777" w:rsidR="00EE2B77" w:rsidRDefault="00EE2B77">
      <w:pPr>
        <w:spacing w:line="276" w:lineRule="auto"/>
        <w:jc w:val="center"/>
        <w:rPr>
          <w:sz w:val="22"/>
          <w:szCs w:val="22"/>
          <w:highlight w:val="white"/>
        </w:rPr>
      </w:pPr>
    </w:p>
    <w:p w14:paraId="373D9D8A" w14:textId="77777777" w:rsidR="00A06E1B" w:rsidRDefault="00A06E1B" w:rsidP="00A06E1B">
      <w:pPr>
        <w:rPr>
          <w:sz w:val="22"/>
          <w:szCs w:val="22"/>
          <w:highlight w:val="white"/>
        </w:rPr>
      </w:pPr>
    </w:p>
    <w:p w14:paraId="51D1952B" w14:textId="3CAF53EA" w:rsidR="00EE2B77" w:rsidRPr="00012456" w:rsidRDefault="00EE2B77" w:rsidP="00A06E1B">
      <w:pPr>
        <w:jc w:val="center"/>
        <w:rPr>
          <w:lang w:val="es-CO"/>
        </w:rPr>
      </w:pPr>
      <w:r w:rsidRPr="00012456">
        <w:rPr>
          <w:b/>
          <w:bCs/>
          <w:lang w:val="es-CO"/>
        </w:rPr>
        <w:lastRenderedPageBreak/>
        <w:t xml:space="preserve">PONENCIA PARA PRIMER DEBATE </w:t>
      </w:r>
      <w:r w:rsidR="00CC3383">
        <w:rPr>
          <w:b/>
          <w:bCs/>
          <w:lang w:val="es-CO"/>
        </w:rPr>
        <w:t>AL PROYECTO DE ACUERDO NO. 471</w:t>
      </w:r>
      <w:r w:rsidR="006F54E8">
        <w:rPr>
          <w:b/>
          <w:bCs/>
          <w:lang w:val="es-CO"/>
        </w:rPr>
        <w:t xml:space="preserve"> DE 2025</w:t>
      </w:r>
    </w:p>
    <w:p w14:paraId="70546AE2" w14:textId="77777777" w:rsidR="00EE2B77" w:rsidRPr="00012456" w:rsidRDefault="00EE2B77" w:rsidP="00EE2B77">
      <w:pPr>
        <w:rPr>
          <w:lang w:val="es-CO"/>
        </w:rPr>
      </w:pPr>
    </w:p>
    <w:p w14:paraId="71955F41" w14:textId="4C6AD3D7" w:rsidR="00EE2B77" w:rsidRDefault="006F54E8" w:rsidP="00CC3383">
      <w:pPr>
        <w:jc w:val="center"/>
        <w:rPr>
          <w:b/>
          <w:bCs/>
          <w:lang w:val="es-CO"/>
        </w:rPr>
      </w:pPr>
      <w:r>
        <w:rPr>
          <w:b/>
          <w:bCs/>
          <w:lang w:val="es-CO"/>
        </w:rPr>
        <w:t>“</w:t>
      </w:r>
      <w:r w:rsidR="00CC3383" w:rsidRPr="00CC3383">
        <w:rPr>
          <w:b/>
          <w:bCs/>
          <w:lang w:val="es-CO"/>
        </w:rPr>
        <w:t>POR EL CUAL SE ESTABLECE UN PROTOCOLO PARA GESTIONAR LA FATIGA Y CANSANCIO EN LOS CONDUCTORES QUE OPERAN EN LOS TERMINALES DE TRANSPORTE TERRESTRE AUTOMOTOR DE PASAJEROS POR CARRETERA Y SE DICTAN OTRAS DISPOSICIONES</w:t>
      </w:r>
      <w:r w:rsidR="00EE2B77" w:rsidRPr="00012456">
        <w:rPr>
          <w:b/>
          <w:bCs/>
          <w:lang w:val="es-CO"/>
        </w:rPr>
        <w:t>”.</w:t>
      </w:r>
    </w:p>
    <w:p w14:paraId="2C72FDF9" w14:textId="5D860BB8" w:rsidR="009761A5" w:rsidRPr="009761A5" w:rsidRDefault="009761A5" w:rsidP="006F54E8">
      <w:pPr>
        <w:rPr>
          <w:b/>
          <w:bCs/>
          <w:lang w:val="es-CO"/>
        </w:rPr>
      </w:pPr>
    </w:p>
    <w:p w14:paraId="0A7423E6" w14:textId="77777777" w:rsidR="00EE2B77" w:rsidRPr="00012456" w:rsidRDefault="00EE2B77" w:rsidP="00EE2B77">
      <w:pPr>
        <w:rPr>
          <w:lang w:val="es-CO"/>
        </w:rPr>
      </w:pPr>
    </w:p>
    <w:p w14:paraId="2491D598" w14:textId="4EC48874" w:rsidR="00EE2B77" w:rsidRDefault="00EE2B77" w:rsidP="00EE2B77">
      <w:pPr>
        <w:jc w:val="both"/>
        <w:rPr>
          <w:lang w:val="es-CO"/>
        </w:rPr>
      </w:pPr>
      <w:r w:rsidRPr="00012456">
        <w:rPr>
          <w:lang w:val="es-CO"/>
        </w:rPr>
        <w:t xml:space="preserve">De conformidad con la designación realizada por la Presidencia del Concejo de Bogotá D.C. y con fundamento en el artículo 71 del Acuerdo 741 de 2019, </w:t>
      </w:r>
      <w:r w:rsidR="009761A5">
        <w:rPr>
          <w:lang w:val="es-CO"/>
        </w:rPr>
        <w:t xml:space="preserve">me permito </w:t>
      </w:r>
      <w:r w:rsidR="009761A5" w:rsidRPr="00012456">
        <w:rPr>
          <w:lang w:val="es-CO"/>
        </w:rPr>
        <w:t>presentar</w:t>
      </w:r>
      <w:r w:rsidRPr="00012456">
        <w:rPr>
          <w:lang w:val="es-CO"/>
        </w:rPr>
        <w:t xml:space="preserve"> ponencia positiva</w:t>
      </w:r>
      <w:r w:rsidR="009761A5">
        <w:rPr>
          <w:lang w:val="es-CO"/>
        </w:rPr>
        <w:t xml:space="preserve"> con modificaciones</w:t>
      </w:r>
      <w:r w:rsidRPr="00012456">
        <w:rPr>
          <w:lang w:val="es-CO"/>
        </w:rPr>
        <w:t xml:space="preserve"> para primer debate a</w:t>
      </w:r>
      <w:r w:rsidR="00CC3383">
        <w:rPr>
          <w:lang w:val="es-CO"/>
        </w:rPr>
        <w:t>l Proyecto de Acuerdo 471</w:t>
      </w:r>
      <w:r w:rsidR="00031B81">
        <w:rPr>
          <w:lang w:val="es-CO"/>
        </w:rPr>
        <w:t xml:space="preserve"> de 2025 “</w:t>
      </w:r>
      <w:r w:rsidR="00CC3383" w:rsidRPr="00CC3383">
        <w:rPr>
          <w:b/>
          <w:i/>
          <w:lang w:val="es-CO"/>
        </w:rPr>
        <w:t>Por el cual se establece un protocolo para gestionar la fatiga y cansancio en los conductores que operan en los terminales de transporte terrestre automotor de pasajeros por carretera y se dictan otras disposiciones</w:t>
      </w:r>
      <w:r w:rsidR="00CC3383">
        <w:rPr>
          <w:lang w:val="es-CO"/>
        </w:rPr>
        <w:t>”</w:t>
      </w:r>
      <w:r w:rsidR="00031B81">
        <w:rPr>
          <w:lang w:val="es-CO"/>
        </w:rPr>
        <w:t xml:space="preserve">, en los </w:t>
      </w:r>
      <w:r w:rsidRPr="00012456">
        <w:rPr>
          <w:lang w:val="es-CO"/>
        </w:rPr>
        <w:t>siguientes términos:</w:t>
      </w:r>
    </w:p>
    <w:p w14:paraId="09BBF40D" w14:textId="77777777" w:rsidR="00EE2B77" w:rsidRDefault="00EE2B77" w:rsidP="00EE2B77">
      <w:pPr>
        <w:jc w:val="both"/>
        <w:rPr>
          <w:lang w:val="es-CO"/>
        </w:rPr>
      </w:pPr>
    </w:p>
    <w:p w14:paraId="0A8E434F" w14:textId="77777777" w:rsidR="00EE2B77" w:rsidRDefault="00EE2B77" w:rsidP="00EE2B77">
      <w:pPr>
        <w:spacing w:line="360" w:lineRule="auto"/>
        <w:jc w:val="both"/>
      </w:pPr>
    </w:p>
    <w:p w14:paraId="0EB8E41A" w14:textId="77777777" w:rsidR="00EE2B77" w:rsidRDefault="00EE2B77" w:rsidP="00EE2B77">
      <w:pPr>
        <w:numPr>
          <w:ilvl w:val="0"/>
          <w:numId w:val="15"/>
        </w:numPr>
        <w:spacing w:line="360" w:lineRule="auto"/>
        <w:jc w:val="both"/>
        <w:rPr>
          <w:b/>
        </w:rPr>
      </w:pPr>
      <w:r>
        <w:rPr>
          <w:b/>
        </w:rPr>
        <w:t>OBJETO DEL PROYECTO DE ACUERDO</w:t>
      </w:r>
    </w:p>
    <w:p w14:paraId="40FED764" w14:textId="79304F9D" w:rsidR="00CC3383" w:rsidRDefault="00031B81" w:rsidP="00910AF2">
      <w:pPr>
        <w:pBdr>
          <w:top w:val="nil"/>
          <w:left w:val="nil"/>
          <w:bottom w:val="nil"/>
          <w:right w:val="nil"/>
          <w:between w:val="nil"/>
        </w:pBdr>
        <w:spacing w:line="276" w:lineRule="auto"/>
        <w:jc w:val="both"/>
        <w:rPr>
          <w:bCs/>
        </w:rPr>
      </w:pPr>
      <w:r>
        <w:rPr>
          <w:bCs/>
        </w:rPr>
        <w:t>El Proyecto de A</w:t>
      </w:r>
      <w:r w:rsidR="009761A5">
        <w:rPr>
          <w:bCs/>
        </w:rPr>
        <w:t xml:space="preserve">cuerdo </w:t>
      </w:r>
      <w:r w:rsidR="00CC3383">
        <w:rPr>
          <w:bCs/>
        </w:rPr>
        <w:t>471</w:t>
      </w:r>
      <w:r>
        <w:rPr>
          <w:bCs/>
        </w:rPr>
        <w:t xml:space="preserve"> de 2025, </w:t>
      </w:r>
      <w:r w:rsidR="009761A5">
        <w:rPr>
          <w:bCs/>
        </w:rPr>
        <w:t xml:space="preserve">conforme a su </w:t>
      </w:r>
      <w:r w:rsidR="00CC3383">
        <w:rPr>
          <w:bCs/>
        </w:rPr>
        <w:t>autor</w:t>
      </w:r>
      <w:r w:rsidR="009761A5">
        <w:rPr>
          <w:bCs/>
        </w:rPr>
        <w:t xml:space="preserve">, H.C. </w:t>
      </w:r>
      <w:r w:rsidR="00CC3383">
        <w:rPr>
          <w:bCs/>
        </w:rPr>
        <w:t xml:space="preserve">Rubén Darío Torrado Pacheco, tiene como objeto </w:t>
      </w:r>
      <w:r w:rsidR="00CC3383" w:rsidRPr="00CC3383">
        <w:rPr>
          <w:bCs/>
        </w:rPr>
        <w:t xml:space="preserve">establecer un protocolo para gestionar la fatiga y sueño en los conductores que salen de los terminales de transporte terrestre de Bogotá, como una medida que busca disminuir los niveles de accidentabilidad causados por escenarios de </w:t>
      </w:r>
      <w:proofErr w:type="spellStart"/>
      <w:r w:rsidR="00CC3383" w:rsidRPr="00CC3383">
        <w:rPr>
          <w:bCs/>
        </w:rPr>
        <w:t>microsueño</w:t>
      </w:r>
      <w:proofErr w:type="spellEnd"/>
      <w:r w:rsidR="00CC3383" w:rsidRPr="00CC3383">
        <w:rPr>
          <w:bCs/>
        </w:rPr>
        <w:t>, cansancio y somnolencia durante el traslado de pasajeros por carretera</w:t>
      </w:r>
      <w:r w:rsidR="00CC3383">
        <w:rPr>
          <w:bCs/>
        </w:rPr>
        <w:t>.</w:t>
      </w:r>
    </w:p>
    <w:p w14:paraId="67F76BD0" w14:textId="77777777" w:rsidR="00CC3383" w:rsidRDefault="00CC3383" w:rsidP="00910AF2">
      <w:pPr>
        <w:pBdr>
          <w:top w:val="nil"/>
          <w:left w:val="nil"/>
          <w:bottom w:val="nil"/>
          <w:right w:val="nil"/>
          <w:between w:val="nil"/>
        </w:pBdr>
        <w:spacing w:line="276" w:lineRule="auto"/>
        <w:jc w:val="both"/>
        <w:rPr>
          <w:bCs/>
        </w:rPr>
      </w:pPr>
    </w:p>
    <w:p w14:paraId="20BE035D" w14:textId="1E68F248" w:rsidR="00D625BB" w:rsidRDefault="00D625BB" w:rsidP="00EE2B77">
      <w:pPr>
        <w:pBdr>
          <w:top w:val="nil"/>
          <w:left w:val="nil"/>
          <w:bottom w:val="nil"/>
          <w:right w:val="nil"/>
          <w:between w:val="nil"/>
        </w:pBdr>
        <w:spacing w:line="276" w:lineRule="auto"/>
        <w:jc w:val="both"/>
        <w:rPr>
          <w:bCs/>
        </w:rPr>
      </w:pPr>
      <w:bookmarkStart w:id="2" w:name="_Hlk142656963"/>
    </w:p>
    <w:p w14:paraId="1188B3F2" w14:textId="77777777" w:rsidR="00EE2B77" w:rsidRPr="002B273F" w:rsidRDefault="00EE2B77" w:rsidP="00EE2B77">
      <w:pPr>
        <w:pBdr>
          <w:top w:val="nil"/>
          <w:left w:val="nil"/>
          <w:bottom w:val="nil"/>
          <w:right w:val="nil"/>
          <w:between w:val="nil"/>
        </w:pBdr>
        <w:spacing w:line="276" w:lineRule="auto"/>
        <w:jc w:val="both"/>
        <w:rPr>
          <w:b/>
          <w:bCs/>
        </w:rPr>
      </w:pPr>
    </w:p>
    <w:p w14:paraId="446C0163" w14:textId="77777777" w:rsidR="00EE2B77" w:rsidRDefault="00EE2B77" w:rsidP="00EE2B77">
      <w:pPr>
        <w:pStyle w:val="Prrafodelista"/>
        <w:numPr>
          <w:ilvl w:val="0"/>
          <w:numId w:val="15"/>
        </w:numPr>
        <w:pBdr>
          <w:top w:val="nil"/>
          <w:left w:val="nil"/>
          <w:bottom w:val="nil"/>
          <w:right w:val="nil"/>
          <w:between w:val="nil"/>
        </w:pBdr>
        <w:spacing w:line="276" w:lineRule="auto"/>
        <w:contextualSpacing w:val="0"/>
        <w:jc w:val="both"/>
        <w:rPr>
          <w:b/>
          <w:bCs/>
        </w:rPr>
      </w:pPr>
      <w:r w:rsidRPr="002B273F">
        <w:rPr>
          <w:b/>
          <w:bCs/>
        </w:rPr>
        <w:t xml:space="preserve">ANTECEDENTES </w:t>
      </w:r>
    </w:p>
    <w:p w14:paraId="7E7E0ED3" w14:textId="77777777" w:rsidR="00EE2B77" w:rsidRDefault="00EE2B77" w:rsidP="00EE2B77">
      <w:pPr>
        <w:pBdr>
          <w:top w:val="nil"/>
          <w:left w:val="nil"/>
          <w:bottom w:val="nil"/>
          <w:right w:val="nil"/>
          <w:between w:val="nil"/>
        </w:pBdr>
        <w:spacing w:line="276" w:lineRule="auto"/>
        <w:jc w:val="both"/>
        <w:rPr>
          <w:b/>
          <w:bCs/>
        </w:rPr>
      </w:pPr>
    </w:p>
    <w:p w14:paraId="450BA904" w14:textId="172CCBE2" w:rsidR="00EE2B77" w:rsidRDefault="00EE2B77" w:rsidP="00EE2B77">
      <w:pPr>
        <w:jc w:val="both"/>
      </w:pPr>
      <w:r>
        <w:t>El proyecto de acuerdo</w:t>
      </w:r>
      <w:r w:rsidR="00D625BB">
        <w:t xml:space="preserve"> </w:t>
      </w:r>
      <w:r w:rsidR="00CC3383" w:rsidRPr="00CC3383">
        <w:t>no ha sido sometido a consideración de la Corporación en oportunidades anteriores</w:t>
      </w:r>
      <w:r w:rsidR="00CC3383">
        <w:t>.</w:t>
      </w:r>
    </w:p>
    <w:p w14:paraId="686D957C" w14:textId="4F0C9BE0" w:rsidR="00910AF2" w:rsidRDefault="00910AF2" w:rsidP="00EE2B77">
      <w:pPr>
        <w:jc w:val="both"/>
      </w:pPr>
    </w:p>
    <w:p w14:paraId="7DA08379" w14:textId="11E0B711" w:rsidR="00910AF2" w:rsidRDefault="00910AF2" w:rsidP="00EE2B77">
      <w:pPr>
        <w:jc w:val="both"/>
      </w:pPr>
    </w:p>
    <w:p w14:paraId="74DBAF42" w14:textId="2ADF7E00" w:rsidR="00910AF2" w:rsidRDefault="00910AF2" w:rsidP="00EE2B77">
      <w:pPr>
        <w:jc w:val="both"/>
      </w:pPr>
    </w:p>
    <w:p w14:paraId="5AF185C3" w14:textId="7EA579C7" w:rsidR="00910AF2" w:rsidRDefault="00910AF2" w:rsidP="00EE2B77">
      <w:pPr>
        <w:jc w:val="both"/>
      </w:pPr>
    </w:p>
    <w:bookmarkEnd w:id="2"/>
    <w:p w14:paraId="37422152" w14:textId="4195A3A1" w:rsidR="00BC5BB0" w:rsidRDefault="00BC5BB0" w:rsidP="00EE2B77">
      <w:pPr>
        <w:spacing w:line="276" w:lineRule="auto"/>
        <w:jc w:val="both"/>
      </w:pPr>
    </w:p>
    <w:p w14:paraId="30D6F357" w14:textId="63B31EFA" w:rsidR="00EE2B77" w:rsidRDefault="00EE2B77" w:rsidP="00EE2B77">
      <w:pPr>
        <w:numPr>
          <w:ilvl w:val="0"/>
          <w:numId w:val="15"/>
        </w:numPr>
        <w:spacing w:line="276" w:lineRule="auto"/>
        <w:jc w:val="both"/>
        <w:rPr>
          <w:b/>
        </w:rPr>
      </w:pPr>
      <w:r>
        <w:rPr>
          <w:b/>
        </w:rPr>
        <w:t>JUSTIFICACIÓN DE</w:t>
      </w:r>
      <w:r w:rsidR="0024105A">
        <w:rPr>
          <w:b/>
        </w:rPr>
        <w:t xml:space="preserve"> </w:t>
      </w:r>
      <w:r>
        <w:rPr>
          <w:b/>
        </w:rPr>
        <w:t>L</w:t>
      </w:r>
      <w:r w:rsidR="0024105A">
        <w:rPr>
          <w:b/>
        </w:rPr>
        <w:t>OS</w:t>
      </w:r>
      <w:r>
        <w:rPr>
          <w:b/>
        </w:rPr>
        <w:t xml:space="preserve"> PROYECTO</w:t>
      </w:r>
      <w:r w:rsidR="0024105A">
        <w:rPr>
          <w:b/>
        </w:rPr>
        <w:t>S</w:t>
      </w:r>
      <w:r>
        <w:rPr>
          <w:b/>
        </w:rPr>
        <w:t xml:space="preserve"> DE ACUERDO</w:t>
      </w:r>
    </w:p>
    <w:p w14:paraId="41421FCE" w14:textId="77777777" w:rsidR="00EE2B77" w:rsidRDefault="00EE2B77" w:rsidP="00EE2B77">
      <w:pPr>
        <w:spacing w:line="276" w:lineRule="auto"/>
        <w:jc w:val="both"/>
        <w:rPr>
          <w:b/>
        </w:rPr>
      </w:pPr>
    </w:p>
    <w:p w14:paraId="086A0159" w14:textId="7C1A8C75" w:rsidR="00911052" w:rsidRDefault="00CC3383" w:rsidP="00EE2B77">
      <w:pPr>
        <w:spacing w:line="276" w:lineRule="auto"/>
        <w:jc w:val="both"/>
      </w:pPr>
      <w:r>
        <w:rPr>
          <w:bCs/>
        </w:rPr>
        <w:t xml:space="preserve">El autor del proyecto de acuerdo </w:t>
      </w:r>
      <w:r w:rsidR="00C42CB0">
        <w:rPr>
          <w:bCs/>
        </w:rPr>
        <w:t>sustenta la iniciativa de la siguiente manera: en un primer momento, describe el funcionamiento</w:t>
      </w:r>
      <w:r w:rsidR="00C42CB0">
        <w:t xml:space="preserve"> del transporte terrestre intermunicipal en Colombia; en un segundo momento, señala la importancia de gestionar la fatiga y el cansancio en los conductores de transporte terrestre; en un tercer momento, presenta las estadísticas sobre los informes de siniestros viales que se generan en carretera; y, en un cuarto momento, menciona los múltiples desafíos en materia operativa por parte de los sectores competentes.</w:t>
      </w:r>
    </w:p>
    <w:p w14:paraId="218B6742" w14:textId="7C05011A" w:rsidR="00C42CB0" w:rsidRPr="00D665A9" w:rsidRDefault="00C42CB0" w:rsidP="00EE2B77">
      <w:pPr>
        <w:spacing w:line="276" w:lineRule="auto"/>
        <w:jc w:val="both"/>
        <w:rPr>
          <w:b/>
        </w:rPr>
      </w:pPr>
    </w:p>
    <w:p w14:paraId="67083023" w14:textId="27C8371A" w:rsidR="00C42CB0" w:rsidRPr="00D665A9" w:rsidRDefault="00C42CB0" w:rsidP="00C42CB0">
      <w:pPr>
        <w:pStyle w:val="Prrafodelista"/>
        <w:numPr>
          <w:ilvl w:val="0"/>
          <w:numId w:val="27"/>
        </w:numPr>
        <w:spacing w:line="276" w:lineRule="auto"/>
        <w:jc w:val="both"/>
        <w:rPr>
          <w:b/>
          <w:bCs/>
        </w:rPr>
      </w:pPr>
      <w:r w:rsidRPr="00D665A9">
        <w:rPr>
          <w:b/>
          <w:bCs/>
        </w:rPr>
        <w:t>Funcionamiento del transporte terrestre intermunicipal en Colombia</w:t>
      </w:r>
    </w:p>
    <w:p w14:paraId="194B0368" w14:textId="7B6FF414" w:rsidR="00C42CB0" w:rsidRDefault="00C42CB0" w:rsidP="00EE2B77">
      <w:pPr>
        <w:spacing w:line="276" w:lineRule="auto"/>
        <w:jc w:val="both"/>
        <w:rPr>
          <w:bCs/>
        </w:rPr>
      </w:pPr>
    </w:p>
    <w:p w14:paraId="10F3948F" w14:textId="1902FDD6" w:rsidR="00DE1A3E" w:rsidRDefault="00DE1A3E" w:rsidP="00EE2B77">
      <w:pPr>
        <w:spacing w:line="276" w:lineRule="auto"/>
        <w:jc w:val="both"/>
        <w:rPr>
          <w:bCs/>
        </w:rPr>
      </w:pPr>
      <w:r>
        <w:rPr>
          <w:bCs/>
        </w:rPr>
        <w:t>E</w:t>
      </w:r>
      <w:r w:rsidRPr="00DE1A3E">
        <w:rPr>
          <w:bCs/>
        </w:rPr>
        <w:t>l transporte terrestre intermunicipal es un servicio público regulado por el Ministerio de Transporte, vigilado y controlado de manera permanente por la Superintendencia de Puertos y Transporte, reglamentado por la Ley 105 de 1993 y Ley 336 de 1996. Es un servicio que funciona a través de intermediación con empresas privadas, en el cual, el Estado concede el permiso para operar las rutas y estas son administradas por empresas de transporte quienes bajo propiedad o con afiliados están a cargo de contratar a los conductores para el traslado de los pasajeros que diariamente (...), representado visualmente de la siguiente manera:</w:t>
      </w:r>
    </w:p>
    <w:p w14:paraId="22D0CA8B" w14:textId="3EF6FB21" w:rsidR="00DE1A3E" w:rsidRDefault="00DE1A3E" w:rsidP="00EE2B77">
      <w:pPr>
        <w:spacing w:line="276" w:lineRule="auto"/>
        <w:jc w:val="both"/>
        <w:rPr>
          <w:bCs/>
        </w:rPr>
      </w:pPr>
    </w:p>
    <w:p w14:paraId="71549F09" w14:textId="77777777" w:rsidR="00DE1A3E" w:rsidRDefault="00DE1A3E" w:rsidP="00DE1A3E">
      <w:pPr>
        <w:jc w:val="center"/>
      </w:pPr>
    </w:p>
    <w:p w14:paraId="234B8324" w14:textId="666B0BA9" w:rsidR="00DE1A3E" w:rsidRPr="00DE1A3E" w:rsidRDefault="00DE1A3E" w:rsidP="00DE1A3E">
      <w:r>
        <w:rPr>
          <w:noProof/>
          <w:lang w:val="es-419" w:eastAsia="es-419"/>
        </w:rPr>
        <w:lastRenderedPageBreak/>
        <w:drawing>
          <wp:inline distT="114300" distB="114300" distL="114300" distR="114300" wp14:anchorId="4F4A5C42" wp14:editId="72C22BE9">
            <wp:extent cx="5610225" cy="2159711"/>
            <wp:effectExtent l="0" t="0" r="0" b="0"/>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t="15431" b="16139"/>
                    <a:stretch>
                      <a:fillRect/>
                    </a:stretch>
                  </pic:blipFill>
                  <pic:spPr>
                    <a:xfrm>
                      <a:off x="0" y="0"/>
                      <a:ext cx="5610225" cy="2159711"/>
                    </a:xfrm>
                    <a:prstGeom prst="rect">
                      <a:avLst/>
                    </a:prstGeom>
                    <a:ln/>
                  </pic:spPr>
                </pic:pic>
              </a:graphicData>
            </a:graphic>
          </wp:inline>
        </w:drawing>
      </w:r>
      <w:r>
        <w:rPr>
          <w:sz w:val="20"/>
          <w:szCs w:val="20"/>
        </w:rPr>
        <w:t xml:space="preserve">Fuente: Elaboración con información obtenida de </w:t>
      </w:r>
      <w:r>
        <w:rPr>
          <w:i/>
          <w:sz w:val="20"/>
          <w:szCs w:val="20"/>
        </w:rPr>
        <w:t>“Fatiga y condiciones laborales en conductores de transporte terrestre de pasajeros en una terminal de Colombia”.</w:t>
      </w:r>
    </w:p>
    <w:p w14:paraId="6BDEA0B7" w14:textId="77777777" w:rsidR="00DE1A3E" w:rsidRDefault="00DE1A3E" w:rsidP="00DE1A3E">
      <w:pPr>
        <w:jc w:val="center"/>
        <w:rPr>
          <w:sz w:val="20"/>
          <w:szCs w:val="20"/>
        </w:rPr>
      </w:pPr>
    </w:p>
    <w:p w14:paraId="22F2C6B5" w14:textId="6444DA19" w:rsidR="00DE1A3E" w:rsidRDefault="00DE1A3E" w:rsidP="00D665A9">
      <w:pPr>
        <w:jc w:val="both"/>
      </w:pPr>
      <w:r>
        <w:t xml:space="preserve">En relación con el presente proyecto de acuerdo, el esquema evidencia que, aunque la regulación del servicio de transporte en el país recae directamente en el Ministerio de Transporte, esta entidad trabaja de manera coordinada con la Secretaría Distrital de Movilidad a nivel territorial para supervisar y garantizar el seguimiento operativo de las rutas que salen desde Bogotá. Además, se observa que la relación entre las empresas y los conductores está mediada por los propietarios de los vehículos. En este modelo, </w:t>
      </w:r>
      <w:r>
        <w:rPr>
          <w:i/>
        </w:rPr>
        <w:t>“las empresas ganan según el número de afiliados, los propietarios que afilian sus vehículos perciben una cuota fija por parte de los conductores, y estos últimos ganan bajo dos modalidades: por pago fijo, por ruta o turno realizado, eso depende de la modalidad de contratación”</w:t>
      </w:r>
      <w:r>
        <w:t xml:space="preserve"> (Miranda Jiménez, 2014, p. 22). Sin embargo, es importante destacar que los riesgos directos recaen sobre los conductores, quienes asumen la responsabilidad final del traslado seguro de los usuarios.</w:t>
      </w:r>
    </w:p>
    <w:p w14:paraId="406FEB71" w14:textId="77777777" w:rsidR="00DE1A3E" w:rsidRDefault="00DE1A3E" w:rsidP="00DE1A3E">
      <w:pPr>
        <w:ind w:firstLine="720"/>
      </w:pPr>
    </w:p>
    <w:p w14:paraId="56BDE44C" w14:textId="1E1B84FB" w:rsidR="00DE1A3E" w:rsidRDefault="00DE1A3E" w:rsidP="00D665A9">
      <w:pPr>
        <w:jc w:val="both"/>
      </w:pPr>
      <w:r>
        <w:t xml:space="preserve">Ahora bien, en lo relacionado con el funcionamiento de la red intermunicipal desde el nivel distrital, el observatorio de movilidad de Bogotá, como una herramienta fundamental para recopilar, estandarizar y difundir la información relacionada con los diversos aspectos que componen la movilidad del distrito y la región, destaca que el servicio de transporte de pasajeros por carretera opera bajo tres categorías de rutas: corta, media y larga distancia. Además, señala que los servicios intermunicipales ingresan a la ciudad a través de ocho corredores principales: Autopista Sur, Calle 13, Calle 80, Avenida Cota-Suba, Autopista Norte, Vía La Calera-Bogotá, Vía </w:t>
      </w:r>
      <w:proofErr w:type="spellStart"/>
      <w:r>
        <w:t>Choachí</w:t>
      </w:r>
      <w:proofErr w:type="spellEnd"/>
      <w:r>
        <w:t xml:space="preserve">-Bogotá y Avenida Villavicencio y que en Bogotá existen </w:t>
      </w:r>
      <w:r>
        <w:lastRenderedPageBreak/>
        <w:t>tres terminales de transporte terrestre: la Terminal del Sur, la Terminal del Norte y la Terminal Salitre (también conocida como Terminal de Transporte).</w:t>
      </w:r>
    </w:p>
    <w:p w14:paraId="20C94410" w14:textId="77777777" w:rsidR="00DE1A3E" w:rsidRDefault="00DE1A3E" w:rsidP="00DE1A3E">
      <w:pPr>
        <w:ind w:firstLine="720"/>
      </w:pPr>
    </w:p>
    <w:p w14:paraId="4DEC0995" w14:textId="2C55E05F" w:rsidR="00DE1A3E" w:rsidRDefault="00DE1A3E" w:rsidP="00D665A9">
      <w:pPr>
        <w:jc w:val="both"/>
      </w:pPr>
      <w:r>
        <w:t xml:space="preserve">Dichos desplazamientos entre Bogotá y los diferentes territorios del país, permiten que la definición de políticas públicas de movilidad, se articulen a la comprensión del modelo de Región Metropolitana en términos de conectividad, sostenibilidad y eficiencia. Entre los beneficios de </w:t>
      </w:r>
      <w:r w:rsidR="00D665A9">
        <w:t>esta</w:t>
      </w:r>
      <w:r>
        <w:t xml:space="preserve"> integración el ABC de la Región</w:t>
      </w:r>
      <w:r w:rsidR="00D665A9">
        <w:t xml:space="preserve"> </w:t>
      </w:r>
      <w:r>
        <w:t xml:space="preserve">Metropolitana Bogotá - Cundinamarca resalta los siguientes: </w:t>
      </w:r>
    </w:p>
    <w:p w14:paraId="6CB10DEA" w14:textId="77777777" w:rsidR="00D665A9" w:rsidRDefault="00D665A9" w:rsidP="00D665A9"/>
    <w:p w14:paraId="73386807" w14:textId="77777777" w:rsidR="00DE1A3E" w:rsidRDefault="00DE1A3E" w:rsidP="00DE1A3E">
      <w:pPr>
        <w:numPr>
          <w:ilvl w:val="0"/>
          <w:numId w:val="28"/>
        </w:numPr>
        <w:spacing w:line="276" w:lineRule="auto"/>
        <w:jc w:val="both"/>
      </w:pPr>
      <w:r>
        <w:t>Facilita la planificación y ejecución de proyectos de transporte que mejoren la conectividad entre los municipios de la región.</w:t>
      </w:r>
    </w:p>
    <w:p w14:paraId="55FBB8A5" w14:textId="77777777" w:rsidR="00DE1A3E" w:rsidRDefault="00DE1A3E" w:rsidP="00DE1A3E">
      <w:pPr>
        <w:numPr>
          <w:ilvl w:val="0"/>
          <w:numId w:val="28"/>
        </w:numPr>
        <w:spacing w:line="276" w:lineRule="auto"/>
        <w:jc w:val="both"/>
      </w:pPr>
      <w:r>
        <w:t>Disminuye los costos del transporte público intermodal para los ciudadanos que se desplazan entre los municipios de la región.</w:t>
      </w:r>
    </w:p>
    <w:p w14:paraId="34E7858F" w14:textId="77777777" w:rsidR="00DE1A3E" w:rsidRDefault="00DE1A3E" w:rsidP="00DE1A3E">
      <w:pPr>
        <w:numPr>
          <w:ilvl w:val="0"/>
          <w:numId w:val="28"/>
        </w:numPr>
        <w:spacing w:line="276" w:lineRule="auto"/>
        <w:jc w:val="both"/>
      </w:pPr>
      <w:r>
        <w:t>Contribuye a aliviar la congestión y evitar la saturación en las vías de acceso a los centros poblados.</w:t>
      </w:r>
    </w:p>
    <w:p w14:paraId="30FB7CD7" w14:textId="77777777" w:rsidR="00DE1A3E" w:rsidRDefault="00DE1A3E" w:rsidP="00DE1A3E">
      <w:pPr>
        <w:numPr>
          <w:ilvl w:val="0"/>
          <w:numId w:val="28"/>
        </w:numPr>
        <w:spacing w:line="276" w:lineRule="auto"/>
        <w:jc w:val="both"/>
      </w:pPr>
      <w:r>
        <w:t>Promueve la integración entre el transporte privado, público y de carga intermunicipal.</w:t>
      </w:r>
    </w:p>
    <w:p w14:paraId="6D21AC4E" w14:textId="3CE6A6E6" w:rsidR="00D665A9" w:rsidRDefault="00DE1A3E" w:rsidP="00D665A9">
      <w:pPr>
        <w:numPr>
          <w:ilvl w:val="0"/>
          <w:numId w:val="28"/>
        </w:numPr>
        <w:spacing w:after="120" w:line="276" w:lineRule="auto"/>
        <w:jc w:val="both"/>
      </w:pPr>
      <w:r>
        <w:t>Abre la posibilidad de desarrollar nuevos corredores para la circulación de personas y mercancías. (Alcaldía Mayor de Bogotá, 2023)</w:t>
      </w:r>
    </w:p>
    <w:p w14:paraId="7D3DD4F2" w14:textId="77777777" w:rsidR="00D665A9" w:rsidRDefault="00D665A9" w:rsidP="00D665A9">
      <w:pPr>
        <w:spacing w:after="120" w:line="276" w:lineRule="auto"/>
        <w:jc w:val="both"/>
      </w:pPr>
    </w:p>
    <w:p w14:paraId="4EC5DA95" w14:textId="7E92573F" w:rsidR="00D665A9" w:rsidRPr="00D665A9" w:rsidRDefault="00D665A9" w:rsidP="006B1E01">
      <w:pPr>
        <w:pStyle w:val="Prrafodelista"/>
        <w:numPr>
          <w:ilvl w:val="0"/>
          <w:numId w:val="27"/>
        </w:numPr>
        <w:spacing w:line="276" w:lineRule="auto"/>
        <w:jc w:val="both"/>
        <w:rPr>
          <w:b/>
          <w:bCs/>
        </w:rPr>
      </w:pPr>
      <w:r w:rsidRPr="00D665A9">
        <w:rPr>
          <w:b/>
          <w:bCs/>
        </w:rPr>
        <w:t>Experiencia del Distrito para el manejo de la fatiga en el transporte público</w:t>
      </w:r>
    </w:p>
    <w:p w14:paraId="448F151F" w14:textId="77777777" w:rsidR="00D665A9" w:rsidRDefault="00D665A9" w:rsidP="006B1E01">
      <w:pPr>
        <w:spacing w:line="276" w:lineRule="auto"/>
        <w:jc w:val="both"/>
      </w:pPr>
    </w:p>
    <w:p w14:paraId="0AB2B4C6" w14:textId="6E50BEAE" w:rsidR="00D665A9" w:rsidRDefault="00D665A9" w:rsidP="00DA6DFC">
      <w:pPr>
        <w:jc w:val="both"/>
      </w:pPr>
      <w:r>
        <w:t xml:space="preserve">Una vez revisado de manera general el funcionamiento del transporte terrestre intermunicipal y la normatividad que lo regula, es importante señalar para la justificación del acuerdo el trabajo que se ha hecho desde otras administraciones distritales, para capacitar y gestionar la carga laboral en el recurso humano que opera el transporte público y privado de la ciudad.  </w:t>
      </w:r>
    </w:p>
    <w:p w14:paraId="2AB008B5" w14:textId="77777777" w:rsidR="00D665A9" w:rsidRDefault="00D665A9" w:rsidP="00DA6DFC">
      <w:pPr>
        <w:jc w:val="both"/>
      </w:pPr>
    </w:p>
    <w:p w14:paraId="04CDB4A6" w14:textId="5884CDB7" w:rsidR="00D665A9" w:rsidRDefault="00D665A9" w:rsidP="00DA6DFC">
      <w:pPr>
        <w:jc w:val="both"/>
      </w:pPr>
      <w:r>
        <w:t xml:space="preserve">En este sentido, en el marco de la política internacional conocida como "Visión Cero", cuyo objetivo es </w:t>
      </w:r>
      <w:r>
        <w:rPr>
          <w:i/>
        </w:rPr>
        <w:t>“reducir a cero el número de víctimas fatales y heridos graves en siniestros viales”</w:t>
      </w:r>
      <w:r>
        <w:t xml:space="preserve">, la Alcaldía de Enrique Peñalosa, a través de la Secretaría Distrital de Movilidad, adoptó en 2016 un enfoque de seguridad vial internacional en el que se reconoce que ninguna muerte en el tránsito es aceptable y todas se pueden evitar. Este enfoque fue implementado gracias a la participación </w:t>
      </w:r>
      <w:r>
        <w:lastRenderedPageBreak/>
        <w:t xml:space="preserve">de Bogotá en la iniciativa para la Seguridad Vial Global de </w:t>
      </w:r>
      <w:proofErr w:type="spellStart"/>
      <w:r>
        <w:t>Bloomberg</w:t>
      </w:r>
      <w:proofErr w:type="spellEnd"/>
      <w:r>
        <w:t xml:space="preserve"> </w:t>
      </w:r>
      <w:proofErr w:type="spellStart"/>
      <w:r>
        <w:t>Philanthropies</w:t>
      </w:r>
      <w:proofErr w:type="spellEnd"/>
      <w:r>
        <w:t xml:space="preserve">, tras ser seleccionada entre las diez ciudades del mundo para formar parte de </w:t>
      </w:r>
      <w:r w:rsidR="00DA6DFC">
        <w:t>esta</w:t>
      </w:r>
      <w:r>
        <w:t xml:space="preserve"> estrategia. El propósito principal de su aceptación fue reducir la cantidad de siniestros viales y adoptar esta visión como hoja de ruta para mejorar la seguridad vial en la ciudad.</w:t>
      </w:r>
    </w:p>
    <w:p w14:paraId="1B87E4F5" w14:textId="77777777" w:rsidR="00DA6DFC" w:rsidRDefault="00DA6DFC" w:rsidP="00D665A9"/>
    <w:p w14:paraId="635B323C" w14:textId="77777777" w:rsidR="00DA6DFC" w:rsidRDefault="00D665A9" w:rsidP="00DA6DFC">
      <w:pPr>
        <w:jc w:val="both"/>
      </w:pPr>
      <w:r>
        <w:t>De manera complementaria, y como medida para implementar la política de "Visión Cero", la Secretaría Distrital de Movilidad lanzó una propuesta participativa denominada Red Empresarial de Seguridad Vial, cuyo propósito fue promover la participación interinstitucional entre entidades públicas y privadas, fomentando actividades y espacios de diálogo que sensibilicen a los diferentes actores viales sobre su papel como responsables directos en la tarea de salvar vidas en las vías.</w:t>
      </w:r>
    </w:p>
    <w:p w14:paraId="6297F7EE" w14:textId="47675CAD" w:rsidR="00D665A9" w:rsidRDefault="00D665A9" w:rsidP="00DA6DFC">
      <w:r>
        <w:t xml:space="preserve"> </w:t>
      </w:r>
    </w:p>
    <w:p w14:paraId="7B0F4511" w14:textId="2BBF7C6B" w:rsidR="00D665A9" w:rsidRDefault="00DA6DFC" w:rsidP="00DA6DFC">
      <w:pPr>
        <w:jc w:val="both"/>
      </w:pPr>
      <w:r>
        <w:t>Así</w:t>
      </w:r>
      <w:r w:rsidR="00D665A9">
        <w:t xml:space="preserve">, para dar </w:t>
      </w:r>
      <w:r>
        <w:t>cumplimiento</w:t>
      </w:r>
      <w:r w:rsidR="00D665A9">
        <w:t xml:space="preserve"> a los cuatro principios de Visión Cero, los cuales son:  i) Las fatalidades y lesiones graves son prevenibles;</w:t>
      </w:r>
      <w:r w:rsidR="00D665A9">
        <w:rPr>
          <w:b/>
        </w:rPr>
        <w:t xml:space="preserve"> ii) El sistema de transporte debe ser seguro;</w:t>
      </w:r>
      <w:r w:rsidR="00D665A9">
        <w:t xml:space="preserve"> iii) Cometer errores es de humanos; iv) A mayor velocidad, mayor es la gravedad del siniestro; la administración distrital debido al nivel de siniestralidad vial que estaba entrando a formar parte de los problemas de salud pública encaminó gran parte su política pública de movilidad a la protección de las vidas en el tránsito, mediante las siguientes acciones:  </w:t>
      </w:r>
    </w:p>
    <w:p w14:paraId="13D994B0" w14:textId="77777777" w:rsidR="00D665A9" w:rsidRDefault="00D665A9" w:rsidP="00D665A9">
      <w:pPr>
        <w:ind w:firstLine="720"/>
      </w:pPr>
    </w:p>
    <w:p w14:paraId="1D29F2FD" w14:textId="77777777" w:rsidR="00D665A9" w:rsidRDefault="00D665A9" w:rsidP="00D665A9">
      <w:r>
        <w:rPr>
          <w:noProof/>
          <w:lang w:val="es-419" w:eastAsia="es-419"/>
        </w:rPr>
        <w:drawing>
          <wp:inline distT="114300" distB="114300" distL="114300" distR="114300" wp14:anchorId="0E32CB70" wp14:editId="4DB3304C">
            <wp:extent cx="5677853" cy="2637516"/>
            <wp:effectExtent l="0" t="0" r="0" b="0"/>
            <wp:docPr id="1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1"/>
                    <a:srcRect/>
                    <a:stretch>
                      <a:fillRect/>
                    </a:stretch>
                  </pic:blipFill>
                  <pic:spPr>
                    <a:xfrm>
                      <a:off x="0" y="0"/>
                      <a:ext cx="5677853" cy="2637516"/>
                    </a:xfrm>
                    <a:prstGeom prst="rect">
                      <a:avLst/>
                    </a:prstGeom>
                    <a:ln/>
                  </pic:spPr>
                </pic:pic>
              </a:graphicData>
            </a:graphic>
          </wp:inline>
        </w:drawing>
      </w:r>
    </w:p>
    <w:p w14:paraId="6D5B9F96" w14:textId="77777777" w:rsidR="00D665A9" w:rsidRDefault="00D665A9" w:rsidP="00D665A9"/>
    <w:p w14:paraId="6F0628DD" w14:textId="77777777" w:rsidR="00D665A9" w:rsidRPr="00DA6DFC" w:rsidRDefault="00D665A9" w:rsidP="00DA6DFC">
      <w:pPr>
        <w:rPr>
          <w:sz w:val="20"/>
        </w:rPr>
      </w:pPr>
      <w:r w:rsidRPr="00DA6DFC">
        <w:rPr>
          <w:sz w:val="20"/>
        </w:rPr>
        <w:t xml:space="preserve">Nota: Elaboración Propia con información de la Alcaldía Mayor de Bogotá. </w:t>
      </w:r>
    </w:p>
    <w:p w14:paraId="5A5A8B5D" w14:textId="77777777" w:rsidR="00D665A9" w:rsidRDefault="00D665A9" w:rsidP="00DA6DFC">
      <w:pPr>
        <w:jc w:val="both"/>
      </w:pPr>
    </w:p>
    <w:p w14:paraId="5EA149F9" w14:textId="79D4D7D1" w:rsidR="00D665A9" w:rsidRDefault="00D665A9" w:rsidP="00DA6DFC">
      <w:pPr>
        <w:jc w:val="both"/>
        <w:rPr>
          <w:color w:val="333333"/>
          <w:highlight w:val="white"/>
        </w:rPr>
      </w:pPr>
      <w:r>
        <w:rPr>
          <w:color w:val="333333"/>
          <w:highlight w:val="white"/>
        </w:rPr>
        <w:lastRenderedPageBreak/>
        <w:t xml:space="preserve">Considerando que se ha descrito de manera general el contenido de Visión Cero y su impacto en el distrito, es importante anotar que cada una de las acciones relacionadas en la ilustración anterior generó resultados individuales, sin embargo, para el contexto de la  justificación del acuerdo, </w:t>
      </w:r>
      <w:r>
        <w:rPr>
          <w:b/>
          <w:color w:val="333333"/>
          <w:highlight w:val="white"/>
        </w:rPr>
        <w:t>el ítem número cinco (5) asociado a la seguridad vial en el transporte público, desarrolló una serie de programas y talleres a través de la Red Empresarial de Seguridad Vial, encaminados a fortalecer la seguridad de los trabajadores, evitar las bajas laborales y promover la responsabilidad social de los actores viales, aspectos esenciales para el desarrollo de la presente iniciativa</w:t>
      </w:r>
      <w:r>
        <w:rPr>
          <w:color w:val="333333"/>
          <w:highlight w:val="white"/>
        </w:rPr>
        <w:t xml:space="preserve">. </w:t>
      </w:r>
    </w:p>
    <w:p w14:paraId="7568742B" w14:textId="77777777" w:rsidR="00DA6DFC" w:rsidRDefault="00DA6DFC" w:rsidP="00DA6DFC">
      <w:pPr>
        <w:rPr>
          <w:color w:val="333333"/>
          <w:highlight w:val="white"/>
        </w:rPr>
      </w:pPr>
    </w:p>
    <w:p w14:paraId="6C9FB177" w14:textId="55FB2F05" w:rsidR="00D665A9" w:rsidRDefault="00D665A9" w:rsidP="00432377">
      <w:pPr>
        <w:jc w:val="both"/>
        <w:rPr>
          <w:color w:val="333333"/>
          <w:highlight w:val="white"/>
        </w:rPr>
      </w:pPr>
      <w:r>
        <w:rPr>
          <w:color w:val="333333"/>
          <w:highlight w:val="white"/>
        </w:rPr>
        <w:t xml:space="preserve">En este contexto, se realizaron un total de ocho (8) talleres en los que participaron diferentes empresas, conductores y pasajeros sobre los diversos temas que engloba el programa “Visión Cero Bogotá”. Mediante la Red Empresarial de Seguridad Vial se diseñaron capacitaciones y actividades conforme a lo establecido en el Plan Distrital de Seguridad Vial 2017-2026 y fueron adaptadas a los distritos actores viales involucrados. Durante las sesiones se expuso el diagnóstico de siniestralidad vial en la ciudad, en el que se denotaron datos representativos como el hecho de que en Bogotá fallecen 7.5 personas por cada 100.000 habitantes a causa de siniestros viales convirtiéndose en un problema de salud pública, así como, el desarrollo de estrategias de prevención, mitigación y acompañamiento enfocadas en los factores de riesgo a los que diariamente están expuestos los actores viales. </w:t>
      </w:r>
    </w:p>
    <w:p w14:paraId="6F332E8D" w14:textId="77777777" w:rsidR="00432377" w:rsidRDefault="00432377" w:rsidP="00432377">
      <w:pPr>
        <w:rPr>
          <w:color w:val="333333"/>
          <w:highlight w:val="white"/>
        </w:rPr>
      </w:pPr>
    </w:p>
    <w:p w14:paraId="45682488" w14:textId="198DC179" w:rsidR="00D665A9" w:rsidRDefault="00D665A9" w:rsidP="00432377">
      <w:pPr>
        <w:jc w:val="both"/>
        <w:rPr>
          <w:color w:val="333333"/>
          <w:highlight w:val="white"/>
        </w:rPr>
      </w:pPr>
      <w:r>
        <w:rPr>
          <w:color w:val="333333"/>
          <w:highlight w:val="white"/>
        </w:rPr>
        <w:t xml:space="preserve">Por lo tanto, se considera pertinente comprender de manera concisa el contenido de cada taller y su respectiva cartilla, con el propósito de comprender la relación estrecha que existe entre las condiciones físicas y mentales de los conductores -incluyendo factores como la fatiga o el cansancio- con las causas de siniestralidad vial que se presentan en el distrito. </w:t>
      </w:r>
    </w:p>
    <w:p w14:paraId="6E44084F" w14:textId="42FFB83C" w:rsidR="00432377" w:rsidRDefault="00432377" w:rsidP="00432377">
      <w:pPr>
        <w:jc w:val="both"/>
        <w:rPr>
          <w:color w:val="333333"/>
          <w:highlight w:val="white"/>
        </w:rPr>
      </w:pPr>
    </w:p>
    <w:p w14:paraId="674BA13F" w14:textId="5B75EAB7" w:rsidR="00432377" w:rsidRDefault="00432377" w:rsidP="00432377">
      <w:pPr>
        <w:jc w:val="both"/>
        <w:rPr>
          <w:color w:val="333333"/>
          <w:highlight w:val="white"/>
        </w:rPr>
      </w:pPr>
    </w:p>
    <w:p w14:paraId="55BA5FD9" w14:textId="69FBDADA" w:rsidR="00432377" w:rsidRDefault="00432377" w:rsidP="00432377">
      <w:pPr>
        <w:jc w:val="both"/>
        <w:rPr>
          <w:color w:val="333333"/>
          <w:highlight w:val="white"/>
        </w:rPr>
      </w:pPr>
    </w:p>
    <w:p w14:paraId="7E07C0EC" w14:textId="0A8114E0" w:rsidR="00432377" w:rsidRDefault="00432377" w:rsidP="00432377">
      <w:pPr>
        <w:jc w:val="both"/>
        <w:rPr>
          <w:color w:val="333333"/>
          <w:highlight w:val="white"/>
        </w:rPr>
      </w:pPr>
    </w:p>
    <w:p w14:paraId="150A81A9" w14:textId="4F1CF148" w:rsidR="00432377" w:rsidRDefault="00432377" w:rsidP="00432377">
      <w:pPr>
        <w:jc w:val="both"/>
        <w:rPr>
          <w:color w:val="333333"/>
          <w:highlight w:val="white"/>
        </w:rPr>
      </w:pPr>
    </w:p>
    <w:p w14:paraId="24613C89" w14:textId="415C2465" w:rsidR="00432377" w:rsidRDefault="00432377" w:rsidP="00432377">
      <w:pPr>
        <w:jc w:val="both"/>
        <w:rPr>
          <w:color w:val="333333"/>
          <w:highlight w:val="white"/>
        </w:rPr>
      </w:pPr>
    </w:p>
    <w:p w14:paraId="06ECFB41" w14:textId="4C6FA7CE" w:rsidR="00432377" w:rsidRDefault="00432377" w:rsidP="00432377">
      <w:pPr>
        <w:jc w:val="both"/>
        <w:rPr>
          <w:color w:val="333333"/>
          <w:highlight w:val="white"/>
        </w:rPr>
      </w:pPr>
    </w:p>
    <w:p w14:paraId="728576B4" w14:textId="77777777" w:rsidR="00432377" w:rsidRDefault="00432377" w:rsidP="00432377">
      <w:pPr>
        <w:jc w:val="both"/>
        <w:rPr>
          <w:color w:val="333333"/>
          <w:highlight w:val="white"/>
        </w:rPr>
      </w:pPr>
    </w:p>
    <w:p w14:paraId="474E4A73" w14:textId="77777777" w:rsidR="00D665A9" w:rsidRDefault="00D665A9" w:rsidP="00D665A9">
      <w:pPr>
        <w:rPr>
          <w:color w:val="333333"/>
          <w:highlight w:val="white"/>
        </w:rPr>
      </w:pPr>
    </w:p>
    <w:tbl>
      <w:tblPr>
        <w:tblW w:w="8838" w:type="dxa"/>
        <w:tblBorders>
          <w:top w:val="nil"/>
          <w:left w:val="nil"/>
          <w:bottom w:val="nil"/>
          <w:right w:val="nil"/>
          <w:insideH w:val="nil"/>
          <w:insideV w:val="nil"/>
        </w:tblBorders>
        <w:tblLayout w:type="fixed"/>
        <w:tblLook w:val="0600" w:firstRow="0" w:lastRow="0" w:firstColumn="0" w:lastColumn="0" w:noHBand="1" w:noVBand="1"/>
      </w:tblPr>
      <w:tblGrid>
        <w:gridCol w:w="1803"/>
        <w:gridCol w:w="7035"/>
      </w:tblGrid>
      <w:tr w:rsidR="00D665A9" w14:paraId="5A76F2DA" w14:textId="77777777" w:rsidTr="00A521D9">
        <w:trPr>
          <w:trHeight w:val="405"/>
        </w:trPr>
        <w:tc>
          <w:tcPr>
            <w:tcW w:w="1803" w:type="dxa"/>
            <w:tcBorders>
              <w:top w:val="nil"/>
              <w:left w:val="nil"/>
              <w:bottom w:val="single" w:sz="5" w:space="0" w:color="7F7F7F"/>
              <w:right w:val="nil"/>
            </w:tcBorders>
            <w:shd w:val="clear" w:color="auto" w:fill="FFFFFF"/>
            <w:tcMar>
              <w:top w:w="0" w:type="dxa"/>
              <w:left w:w="100" w:type="dxa"/>
              <w:bottom w:w="0" w:type="dxa"/>
              <w:right w:w="100" w:type="dxa"/>
            </w:tcMar>
          </w:tcPr>
          <w:p w14:paraId="218AFDD6" w14:textId="77777777" w:rsidR="00D665A9" w:rsidRDefault="00D665A9" w:rsidP="00A521D9">
            <w:pPr>
              <w:spacing w:before="240" w:after="160"/>
              <w:jc w:val="center"/>
              <w:rPr>
                <w:b/>
                <w:i/>
                <w:color w:val="333333"/>
                <w:sz w:val="20"/>
                <w:szCs w:val="20"/>
              </w:rPr>
            </w:pPr>
            <w:r>
              <w:rPr>
                <w:b/>
                <w:i/>
                <w:color w:val="333333"/>
                <w:sz w:val="20"/>
                <w:szCs w:val="20"/>
              </w:rPr>
              <w:lastRenderedPageBreak/>
              <w:t>Cartilla</w:t>
            </w:r>
          </w:p>
        </w:tc>
        <w:tc>
          <w:tcPr>
            <w:tcW w:w="7034" w:type="dxa"/>
            <w:tcBorders>
              <w:top w:val="nil"/>
              <w:left w:val="nil"/>
              <w:bottom w:val="single" w:sz="5" w:space="0" w:color="7F7F7F"/>
              <w:right w:val="nil"/>
            </w:tcBorders>
            <w:shd w:val="clear" w:color="auto" w:fill="FFFFFF"/>
            <w:tcMar>
              <w:top w:w="0" w:type="dxa"/>
              <w:left w:w="100" w:type="dxa"/>
              <w:bottom w:w="0" w:type="dxa"/>
              <w:right w:w="100" w:type="dxa"/>
            </w:tcMar>
          </w:tcPr>
          <w:p w14:paraId="6C38CF55" w14:textId="77777777" w:rsidR="00D665A9" w:rsidRDefault="00D665A9" w:rsidP="00A521D9">
            <w:pPr>
              <w:spacing w:before="240" w:after="160"/>
              <w:jc w:val="center"/>
              <w:rPr>
                <w:b/>
                <w:i/>
                <w:color w:val="333333"/>
                <w:sz w:val="20"/>
                <w:szCs w:val="20"/>
              </w:rPr>
            </w:pPr>
            <w:r>
              <w:rPr>
                <w:b/>
                <w:i/>
                <w:color w:val="333333"/>
                <w:sz w:val="20"/>
                <w:szCs w:val="20"/>
              </w:rPr>
              <w:t>Contenido general de las cartillas asociado a las estrategias y causas de la siniestralidad vial en Bogotá</w:t>
            </w:r>
          </w:p>
        </w:tc>
      </w:tr>
      <w:tr w:rsidR="00D665A9" w14:paraId="35296FE5" w14:textId="77777777" w:rsidTr="00A521D9">
        <w:trPr>
          <w:trHeight w:val="376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14:paraId="204F8285" w14:textId="77777777" w:rsidR="00D665A9" w:rsidRDefault="00D665A9" w:rsidP="00A521D9">
            <w:pPr>
              <w:spacing w:before="240" w:after="160"/>
              <w:jc w:val="center"/>
              <w:rPr>
                <w:b/>
                <w:i/>
                <w:color w:val="333333"/>
                <w:sz w:val="20"/>
                <w:szCs w:val="20"/>
              </w:rPr>
            </w:pPr>
            <w:r>
              <w:rPr>
                <w:b/>
                <w:i/>
                <w:color w:val="333333"/>
                <w:sz w:val="20"/>
                <w:szCs w:val="20"/>
              </w:rPr>
              <w:t>Cartilla 1 - Visión Cero</w:t>
            </w:r>
          </w:p>
        </w:tc>
        <w:tc>
          <w:tcPr>
            <w:tcW w:w="7034" w:type="dxa"/>
            <w:tcBorders>
              <w:top w:val="nil"/>
              <w:left w:val="nil"/>
              <w:bottom w:val="nil"/>
              <w:right w:val="nil"/>
            </w:tcBorders>
            <w:shd w:val="clear" w:color="auto" w:fill="F2F2F2"/>
            <w:tcMar>
              <w:top w:w="0" w:type="dxa"/>
              <w:left w:w="100" w:type="dxa"/>
              <w:bottom w:w="0" w:type="dxa"/>
              <w:right w:w="100" w:type="dxa"/>
            </w:tcMar>
          </w:tcPr>
          <w:p w14:paraId="254EDC52" w14:textId="77777777" w:rsidR="00D665A9" w:rsidRDefault="00D665A9" w:rsidP="00A521D9">
            <w:pPr>
              <w:spacing w:before="240" w:after="160"/>
              <w:rPr>
                <w:color w:val="333333"/>
                <w:sz w:val="20"/>
                <w:szCs w:val="20"/>
              </w:rPr>
            </w:pPr>
            <w:r>
              <w:rPr>
                <w:color w:val="333333"/>
                <w:sz w:val="20"/>
                <w:szCs w:val="20"/>
              </w:rPr>
              <w:t>- Estrategia para reducir siniestros viales a cero.</w:t>
            </w:r>
          </w:p>
          <w:p w14:paraId="5D66EB83" w14:textId="77777777" w:rsidR="00D665A9" w:rsidRDefault="00D665A9" w:rsidP="00A521D9">
            <w:pPr>
              <w:spacing w:before="240" w:after="160"/>
              <w:rPr>
                <w:color w:val="333333"/>
                <w:sz w:val="20"/>
                <w:szCs w:val="20"/>
              </w:rPr>
            </w:pPr>
            <w:r>
              <w:rPr>
                <w:color w:val="333333"/>
                <w:sz w:val="20"/>
                <w:szCs w:val="20"/>
              </w:rPr>
              <w:t>- Identificación de actores viales vulnerables (peatones, ciclistas, motociclistas).</w:t>
            </w:r>
          </w:p>
          <w:p w14:paraId="5065E37F" w14:textId="77777777" w:rsidR="00D665A9" w:rsidRDefault="00D665A9" w:rsidP="00A521D9">
            <w:pPr>
              <w:spacing w:before="240" w:after="160"/>
              <w:rPr>
                <w:color w:val="333333"/>
                <w:sz w:val="20"/>
                <w:szCs w:val="20"/>
              </w:rPr>
            </w:pPr>
            <w:r>
              <w:rPr>
                <w:color w:val="333333"/>
                <w:sz w:val="20"/>
                <w:szCs w:val="20"/>
              </w:rPr>
              <w:t>- Importancia de la infraestructura segura y el control de velocidad.</w:t>
            </w:r>
          </w:p>
          <w:p w14:paraId="6FD54FFB" w14:textId="77777777" w:rsidR="00D665A9" w:rsidRDefault="00D665A9" w:rsidP="00A521D9">
            <w:pPr>
              <w:spacing w:before="240" w:after="160"/>
              <w:rPr>
                <w:color w:val="333333"/>
                <w:sz w:val="20"/>
                <w:szCs w:val="20"/>
              </w:rPr>
            </w:pPr>
            <w:r>
              <w:rPr>
                <w:color w:val="333333"/>
                <w:sz w:val="20"/>
                <w:szCs w:val="20"/>
              </w:rPr>
              <w:t>- En Bogotá, mueren 7.5 personas por cada 100,000 habitantes en siniestros viales.</w:t>
            </w:r>
          </w:p>
          <w:p w14:paraId="656A5002" w14:textId="77777777" w:rsidR="00D665A9" w:rsidRDefault="00D665A9" w:rsidP="00A521D9">
            <w:pPr>
              <w:spacing w:before="240" w:after="160"/>
              <w:rPr>
                <w:color w:val="333333"/>
                <w:sz w:val="20"/>
                <w:szCs w:val="20"/>
              </w:rPr>
            </w:pPr>
            <w:r>
              <w:rPr>
                <w:color w:val="333333"/>
                <w:sz w:val="20"/>
                <w:szCs w:val="20"/>
              </w:rPr>
              <w:t>- Entre 2003 y 2016, el 96% de las fatalidades fueron peatones, ciclistas y motociclistas.</w:t>
            </w:r>
          </w:p>
          <w:p w14:paraId="3A8C586F" w14:textId="77777777" w:rsidR="00D665A9" w:rsidRDefault="00D665A9" w:rsidP="00A521D9">
            <w:pPr>
              <w:spacing w:before="240" w:after="160"/>
              <w:rPr>
                <w:color w:val="333333"/>
                <w:sz w:val="20"/>
                <w:szCs w:val="20"/>
              </w:rPr>
            </w:pPr>
            <w:r>
              <w:rPr>
                <w:color w:val="333333"/>
                <w:sz w:val="20"/>
                <w:szCs w:val="20"/>
              </w:rPr>
              <w:t>- Un peatón tiene 85% de probabilidad de morir si es atropellado a 50 km/h, pero solo 10% a 30 km/h.</w:t>
            </w:r>
          </w:p>
        </w:tc>
      </w:tr>
      <w:tr w:rsidR="00D665A9" w14:paraId="7574B78A" w14:textId="77777777" w:rsidTr="00A521D9">
        <w:trPr>
          <w:trHeight w:val="280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14:paraId="11B6684E" w14:textId="77777777" w:rsidR="00D665A9" w:rsidRDefault="00D665A9" w:rsidP="00A521D9">
            <w:pPr>
              <w:spacing w:before="240" w:after="160"/>
              <w:jc w:val="center"/>
              <w:rPr>
                <w:b/>
                <w:i/>
                <w:color w:val="333333"/>
                <w:sz w:val="20"/>
                <w:szCs w:val="20"/>
              </w:rPr>
            </w:pPr>
            <w:r>
              <w:rPr>
                <w:b/>
                <w:i/>
                <w:color w:val="333333"/>
                <w:sz w:val="20"/>
                <w:szCs w:val="20"/>
              </w:rPr>
              <w:t>Cartilla 2 - Responsabilidad Social.</w:t>
            </w:r>
          </w:p>
        </w:tc>
        <w:tc>
          <w:tcPr>
            <w:tcW w:w="7034" w:type="dxa"/>
            <w:tcBorders>
              <w:top w:val="nil"/>
              <w:left w:val="nil"/>
              <w:bottom w:val="nil"/>
              <w:right w:val="nil"/>
            </w:tcBorders>
            <w:tcMar>
              <w:top w:w="0" w:type="dxa"/>
              <w:left w:w="100" w:type="dxa"/>
              <w:bottom w:w="0" w:type="dxa"/>
              <w:right w:w="100" w:type="dxa"/>
            </w:tcMar>
          </w:tcPr>
          <w:p w14:paraId="1DCC3016" w14:textId="77777777" w:rsidR="00D665A9" w:rsidRDefault="00D665A9" w:rsidP="00A521D9">
            <w:pPr>
              <w:spacing w:before="240" w:after="160"/>
              <w:rPr>
                <w:color w:val="333333"/>
                <w:sz w:val="20"/>
                <w:szCs w:val="20"/>
              </w:rPr>
            </w:pPr>
            <w:r>
              <w:rPr>
                <w:color w:val="333333"/>
                <w:sz w:val="20"/>
                <w:szCs w:val="20"/>
              </w:rPr>
              <w:t>- Seguridad vial como parte de la responsabilidad social empresarial.</w:t>
            </w:r>
          </w:p>
          <w:p w14:paraId="3D5D74DD" w14:textId="77777777" w:rsidR="00D665A9" w:rsidRDefault="00D665A9" w:rsidP="00A521D9">
            <w:pPr>
              <w:spacing w:before="240" w:after="160"/>
              <w:rPr>
                <w:color w:val="333333"/>
                <w:sz w:val="20"/>
                <w:szCs w:val="20"/>
              </w:rPr>
            </w:pPr>
            <w:r>
              <w:rPr>
                <w:color w:val="333333"/>
                <w:sz w:val="20"/>
                <w:szCs w:val="20"/>
              </w:rPr>
              <w:t>- Beneficios de invertir en seguridad vial para la empresa y la sociedad.</w:t>
            </w:r>
          </w:p>
          <w:p w14:paraId="455916F4" w14:textId="77777777" w:rsidR="00D665A9" w:rsidRDefault="00D665A9" w:rsidP="00A521D9">
            <w:pPr>
              <w:spacing w:before="240" w:after="160"/>
              <w:rPr>
                <w:color w:val="333333"/>
                <w:sz w:val="20"/>
                <w:szCs w:val="20"/>
              </w:rPr>
            </w:pPr>
            <w:r>
              <w:rPr>
                <w:color w:val="333333"/>
                <w:sz w:val="20"/>
                <w:szCs w:val="20"/>
              </w:rPr>
              <w:t>- En 2017, hubo 546 muertos y 14,882 lesionados en siniestros viales en Bogotá.</w:t>
            </w:r>
          </w:p>
          <w:p w14:paraId="05D27239" w14:textId="77777777" w:rsidR="00D665A9" w:rsidRDefault="00D665A9" w:rsidP="00A521D9">
            <w:pPr>
              <w:spacing w:before="240" w:after="160"/>
              <w:rPr>
                <w:color w:val="333333"/>
                <w:sz w:val="20"/>
                <w:szCs w:val="20"/>
              </w:rPr>
            </w:pPr>
            <w:r>
              <w:rPr>
                <w:color w:val="333333"/>
                <w:sz w:val="20"/>
                <w:szCs w:val="20"/>
              </w:rPr>
              <w:t>- Empresas que invierten en seguridad vial reducen costos por bajas laborales, accidentes y daño a la reputación</w:t>
            </w:r>
          </w:p>
        </w:tc>
      </w:tr>
      <w:tr w:rsidR="00D665A9" w14:paraId="61200DB2" w14:textId="77777777" w:rsidTr="00A521D9">
        <w:trPr>
          <w:trHeight w:val="424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14:paraId="19B22A3D" w14:textId="77777777" w:rsidR="00D665A9" w:rsidRDefault="00D665A9" w:rsidP="00A521D9">
            <w:pPr>
              <w:spacing w:before="240" w:after="160"/>
              <w:jc w:val="center"/>
              <w:rPr>
                <w:b/>
                <w:i/>
                <w:color w:val="333333"/>
                <w:sz w:val="20"/>
                <w:szCs w:val="20"/>
              </w:rPr>
            </w:pPr>
            <w:r>
              <w:rPr>
                <w:b/>
                <w:i/>
                <w:color w:val="333333"/>
                <w:sz w:val="20"/>
                <w:szCs w:val="20"/>
              </w:rPr>
              <w:lastRenderedPageBreak/>
              <w:t>Cartilla 3 - Eco-Conducción.</w:t>
            </w:r>
          </w:p>
        </w:tc>
        <w:tc>
          <w:tcPr>
            <w:tcW w:w="7034" w:type="dxa"/>
            <w:tcBorders>
              <w:top w:val="nil"/>
              <w:left w:val="nil"/>
              <w:bottom w:val="nil"/>
              <w:right w:val="nil"/>
            </w:tcBorders>
            <w:shd w:val="clear" w:color="auto" w:fill="F2F2F2"/>
            <w:tcMar>
              <w:top w:w="0" w:type="dxa"/>
              <w:left w:w="100" w:type="dxa"/>
              <w:bottom w:w="0" w:type="dxa"/>
              <w:right w:w="100" w:type="dxa"/>
            </w:tcMar>
          </w:tcPr>
          <w:p w14:paraId="630B186F" w14:textId="77777777" w:rsidR="00D665A9" w:rsidRDefault="00D665A9" w:rsidP="00A521D9">
            <w:pPr>
              <w:spacing w:before="240" w:after="160"/>
              <w:rPr>
                <w:color w:val="333333"/>
                <w:sz w:val="20"/>
                <w:szCs w:val="20"/>
              </w:rPr>
            </w:pPr>
            <w:r>
              <w:rPr>
                <w:color w:val="333333"/>
                <w:sz w:val="20"/>
                <w:szCs w:val="20"/>
              </w:rPr>
              <w:t>- Técnicas de conducción eficiente para reducir consumo de combustible y contaminación.</w:t>
            </w:r>
          </w:p>
          <w:p w14:paraId="3BB555F5" w14:textId="77777777" w:rsidR="00D665A9" w:rsidRDefault="00D665A9" w:rsidP="00A521D9">
            <w:pPr>
              <w:spacing w:before="240" w:after="160"/>
              <w:rPr>
                <w:color w:val="333333"/>
                <w:sz w:val="20"/>
                <w:szCs w:val="20"/>
              </w:rPr>
            </w:pPr>
            <w:r>
              <w:rPr>
                <w:color w:val="333333"/>
                <w:sz w:val="20"/>
                <w:szCs w:val="20"/>
              </w:rPr>
              <w:t>- Impacto positivo en seguridad vial al evitar frenadas y aceleraciones bruscas, con el uso de tecnologías para optimizar el rendimiento del vehículo.</w:t>
            </w:r>
          </w:p>
          <w:p w14:paraId="36AF669B" w14:textId="77777777" w:rsidR="00D665A9" w:rsidRDefault="00D665A9" w:rsidP="00A521D9">
            <w:pPr>
              <w:spacing w:before="240" w:after="160"/>
              <w:rPr>
                <w:color w:val="333333"/>
                <w:sz w:val="20"/>
                <w:szCs w:val="20"/>
              </w:rPr>
            </w:pPr>
            <w:r>
              <w:rPr>
                <w:color w:val="333333"/>
                <w:sz w:val="20"/>
                <w:szCs w:val="20"/>
              </w:rPr>
              <w:t xml:space="preserve">- La fatiga provoca pérdida de paciencia, </w:t>
            </w:r>
            <w:proofErr w:type="spellStart"/>
            <w:r>
              <w:rPr>
                <w:color w:val="333333"/>
                <w:sz w:val="20"/>
                <w:szCs w:val="20"/>
              </w:rPr>
              <w:t>microsueños</w:t>
            </w:r>
            <w:proofErr w:type="spellEnd"/>
            <w:r>
              <w:rPr>
                <w:color w:val="333333"/>
                <w:sz w:val="20"/>
                <w:szCs w:val="20"/>
              </w:rPr>
              <w:t xml:space="preserve"> y dificultad para calcular distancias, es por ello que se debe evitar manejar con sueño o estrés para prevenir accidentes.</w:t>
            </w:r>
          </w:p>
          <w:p w14:paraId="0200108B" w14:textId="77777777" w:rsidR="00D665A9" w:rsidRDefault="00D665A9" w:rsidP="00A521D9">
            <w:pPr>
              <w:spacing w:before="240" w:after="160"/>
              <w:rPr>
                <w:color w:val="333333"/>
                <w:sz w:val="20"/>
                <w:szCs w:val="20"/>
              </w:rPr>
            </w:pPr>
            <w:r>
              <w:rPr>
                <w:color w:val="333333"/>
                <w:sz w:val="20"/>
                <w:szCs w:val="20"/>
              </w:rPr>
              <w:t>- El transporte consume 44% de la energía primaria del país.</w:t>
            </w:r>
          </w:p>
          <w:p w14:paraId="57875BDE" w14:textId="77777777" w:rsidR="00D665A9" w:rsidRDefault="00D665A9" w:rsidP="00A521D9">
            <w:pPr>
              <w:spacing w:before="240" w:after="160"/>
              <w:rPr>
                <w:color w:val="333333"/>
                <w:sz w:val="20"/>
                <w:szCs w:val="20"/>
              </w:rPr>
            </w:pPr>
            <w:r>
              <w:rPr>
                <w:color w:val="333333"/>
                <w:sz w:val="20"/>
                <w:szCs w:val="20"/>
              </w:rPr>
              <w:t>- Conducir con presión baja en llantas aumenta el consumo de combustible 3%</w:t>
            </w:r>
          </w:p>
          <w:p w14:paraId="7EDC3667" w14:textId="77777777" w:rsidR="00D665A9" w:rsidRDefault="00D665A9" w:rsidP="00A521D9">
            <w:pPr>
              <w:spacing w:before="240" w:after="160"/>
              <w:rPr>
                <w:color w:val="333333"/>
                <w:sz w:val="20"/>
                <w:szCs w:val="20"/>
              </w:rPr>
            </w:pPr>
            <w:r>
              <w:rPr>
                <w:color w:val="333333"/>
                <w:sz w:val="20"/>
                <w:szCs w:val="20"/>
              </w:rPr>
              <w:t xml:space="preserve">- La eco-conducción puede reducir siniestros en un </w:t>
            </w:r>
            <w:r>
              <w:rPr>
                <w:b/>
                <w:color w:val="333333"/>
                <w:sz w:val="20"/>
                <w:szCs w:val="20"/>
              </w:rPr>
              <w:t>40%</w:t>
            </w:r>
            <w:r>
              <w:rPr>
                <w:color w:val="333333"/>
                <w:sz w:val="20"/>
                <w:szCs w:val="20"/>
              </w:rPr>
              <w:t>.</w:t>
            </w:r>
          </w:p>
        </w:tc>
      </w:tr>
      <w:tr w:rsidR="00D665A9" w14:paraId="2E428ACB" w14:textId="77777777" w:rsidTr="00A521D9">
        <w:trPr>
          <w:trHeight w:val="304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14:paraId="25BA3E4E" w14:textId="77777777" w:rsidR="00D665A9" w:rsidRDefault="00D665A9" w:rsidP="00A521D9">
            <w:pPr>
              <w:spacing w:before="240" w:after="160"/>
              <w:jc w:val="center"/>
              <w:rPr>
                <w:b/>
                <w:i/>
                <w:color w:val="333333"/>
                <w:sz w:val="20"/>
                <w:szCs w:val="20"/>
              </w:rPr>
            </w:pPr>
            <w:r>
              <w:rPr>
                <w:b/>
                <w:i/>
                <w:color w:val="333333"/>
                <w:sz w:val="20"/>
                <w:szCs w:val="20"/>
              </w:rPr>
              <w:t>Cartilla 4 - Prácticas Seguras en Dos Ruedas</w:t>
            </w:r>
          </w:p>
        </w:tc>
        <w:tc>
          <w:tcPr>
            <w:tcW w:w="7034" w:type="dxa"/>
            <w:tcBorders>
              <w:top w:val="nil"/>
              <w:left w:val="nil"/>
              <w:bottom w:val="nil"/>
              <w:right w:val="nil"/>
            </w:tcBorders>
            <w:tcMar>
              <w:top w:w="0" w:type="dxa"/>
              <w:left w:w="100" w:type="dxa"/>
              <w:bottom w:w="0" w:type="dxa"/>
              <w:right w:w="100" w:type="dxa"/>
            </w:tcMar>
          </w:tcPr>
          <w:p w14:paraId="74F50B9A" w14:textId="77777777" w:rsidR="00D665A9" w:rsidRDefault="00D665A9" w:rsidP="00A521D9">
            <w:pPr>
              <w:spacing w:before="240" w:after="160"/>
              <w:rPr>
                <w:color w:val="333333"/>
                <w:sz w:val="20"/>
                <w:szCs w:val="20"/>
              </w:rPr>
            </w:pPr>
            <w:r>
              <w:rPr>
                <w:color w:val="333333"/>
                <w:sz w:val="20"/>
                <w:szCs w:val="20"/>
              </w:rPr>
              <w:t>- Estrategias para mitigar riesgos en motociclistas y ciclistas.</w:t>
            </w:r>
          </w:p>
          <w:p w14:paraId="77CB07E8" w14:textId="77777777" w:rsidR="00D665A9" w:rsidRDefault="00D665A9" w:rsidP="00A521D9">
            <w:pPr>
              <w:spacing w:before="240" w:after="160"/>
              <w:rPr>
                <w:color w:val="333333"/>
                <w:sz w:val="20"/>
                <w:szCs w:val="20"/>
              </w:rPr>
            </w:pPr>
            <w:r>
              <w:rPr>
                <w:color w:val="333333"/>
                <w:sz w:val="20"/>
                <w:szCs w:val="20"/>
              </w:rPr>
              <w:t>- Uso obligatorio de elementos de protección certificados.</w:t>
            </w:r>
          </w:p>
          <w:p w14:paraId="42FB3DF3" w14:textId="77777777" w:rsidR="00D665A9" w:rsidRDefault="00D665A9" w:rsidP="00A521D9">
            <w:pPr>
              <w:spacing w:before="240" w:after="160"/>
              <w:rPr>
                <w:color w:val="333333"/>
                <w:sz w:val="20"/>
                <w:szCs w:val="20"/>
              </w:rPr>
            </w:pPr>
            <w:r>
              <w:rPr>
                <w:color w:val="333333"/>
                <w:sz w:val="20"/>
                <w:szCs w:val="20"/>
              </w:rPr>
              <w:t>- Importancia de la formación y auditoría de seguridad vial.</w:t>
            </w:r>
          </w:p>
          <w:p w14:paraId="3B84780E" w14:textId="77777777" w:rsidR="00D665A9" w:rsidRDefault="00D665A9" w:rsidP="00A521D9">
            <w:pPr>
              <w:spacing w:before="240" w:after="160"/>
              <w:rPr>
                <w:color w:val="333333"/>
                <w:sz w:val="20"/>
                <w:szCs w:val="20"/>
              </w:rPr>
            </w:pPr>
            <w:r>
              <w:rPr>
                <w:color w:val="333333"/>
                <w:sz w:val="20"/>
                <w:szCs w:val="20"/>
              </w:rPr>
              <w:t>- En 2017 en siniestros viales fueron motociclistas.</w:t>
            </w:r>
          </w:p>
          <w:p w14:paraId="63FE96B0" w14:textId="77777777" w:rsidR="00D665A9" w:rsidRDefault="00D665A9" w:rsidP="00A521D9">
            <w:pPr>
              <w:spacing w:before="240" w:after="160"/>
              <w:rPr>
                <w:color w:val="333333"/>
                <w:sz w:val="20"/>
                <w:szCs w:val="20"/>
              </w:rPr>
            </w:pPr>
            <w:r>
              <w:rPr>
                <w:color w:val="333333"/>
                <w:sz w:val="20"/>
                <w:szCs w:val="20"/>
              </w:rPr>
              <w:t xml:space="preserve"> -35% de los motociclistas fallecidos sufrieron trauma craneoencefálico.</w:t>
            </w:r>
          </w:p>
          <w:p w14:paraId="38E7C377" w14:textId="77777777" w:rsidR="00D665A9" w:rsidRDefault="00D665A9" w:rsidP="00A521D9">
            <w:pPr>
              <w:spacing w:before="240" w:after="160"/>
              <w:rPr>
                <w:color w:val="333333"/>
                <w:sz w:val="20"/>
                <w:szCs w:val="20"/>
              </w:rPr>
            </w:pPr>
            <w:r>
              <w:rPr>
                <w:color w:val="333333"/>
                <w:sz w:val="20"/>
                <w:szCs w:val="20"/>
              </w:rPr>
              <w:t>- No hay regulación estricta sobre la venta de elementos de protección personal.</w:t>
            </w:r>
          </w:p>
        </w:tc>
      </w:tr>
      <w:tr w:rsidR="00D665A9" w14:paraId="701ED301" w14:textId="77777777" w:rsidTr="00A521D9">
        <w:trPr>
          <w:trHeight w:val="400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14:paraId="49D34A10" w14:textId="77777777" w:rsidR="00D665A9" w:rsidRDefault="00D665A9" w:rsidP="00A521D9">
            <w:pPr>
              <w:spacing w:before="240" w:after="160"/>
              <w:jc w:val="center"/>
              <w:rPr>
                <w:b/>
                <w:i/>
                <w:color w:val="333333"/>
                <w:sz w:val="20"/>
                <w:szCs w:val="20"/>
              </w:rPr>
            </w:pPr>
            <w:r>
              <w:rPr>
                <w:b/>
                <w:i/>
                <w:color w:val="333333"/>
                <w:sz w:val="20"/>
                <w:szCs w:val="20"/>
              </w:rPr>
              <w:lastRenderedPageBreak/>
              <w:t>Cartilla 5 - Transporte de Carga</w:t>
            </w:r>
          </w:p>
        </w:tc>
        <w:tc>
          <w:tcPr>
            <w:tcW w:w="7034" w:type="dxa"/>
            <w:tcBorders>
              <w:top w:val="nil"/>
              <w:left w:val="nil"/>
              <w:bottom w:val="nil"/>
              <w:right w:val="nil"/>
            </w:tcBorders>
            <w:shd w:val="clear" w:color="auto" w:fill="F2F2F2"/>
            <w:tcMar>
              <w:top w:w="0" w:type="dxa"/>
              <w:left w:w="100" w:type="dxa"/>
              <w:bottom w:w="0" w:type="dxa"/>
              <w:right w:w="100" w:type="dxa"/>
            </w:tcMar>
          </w:tcPr>
          <w:p w14:paraId="49CD2A1E" w14:textId="77777777" w:rsidR="00D665A9" w:rsidRDefault="00D665A9" w:rsidP="00A521D9">
            <w:pPr>
              <w:spacing w:before="240" w:after="160"/>
              <w:rPr>
                <w:color w:val="333333"/>
                <w:sz w:val="20"/>
                <w:szCs w:val="20"/>
              </w:rPr>
            </w:pPr>
            <w:r>
              <w:rPr>
                <w:color w:val="333333"/>
                <w:sz w:val="20"/>
                <w:szCs w:val="20"/>
              </w:rPr>
              <w:t>- Importancia de la planeación de rutas y el control de vehículos.</w:t>
            </w:r>
          </w:p>
          <w:p w14:paraId="5ED5A6B9" w14:textId="77777777" w:rsidR="00D665A9" w:rsidRDefault="00D665A9" w:rsidP="00A521D9">
            <w:pPr>
              <w:spacing w:before="240" w:after="160"/>
              <w:rPr>
                <w:color w:val="333333"/>
                <w:sz w:val="20"/>
                <w:szCs w:val="20"/>
              </w:rPr>
            </w:pPr>
            <w:r>
              <w:rPr>
                <w:color w:val="333333"/>
                <w:sz w:val="20"/>
                <w:szCs w:val="20"/>
              </w:rPr>
              <w:t>- Capacitación en seguridad vial y mantenimiento vehicular.</w:t>
            </w:r>
          </w:p>
          <w:p w14:paraId="456A01A4" w14:textId="7F4DFB5E" w:rsidR="00D665A9" w:rsidRDefault="00D665A9" w:rsidP="00A521D9">
            <w:pPr>
              <w:spacing w:before="240" w:after="160"/>
              <w:rPr>
                <w:color w:val="333333"/>
                <w:sz w:val="20"/>
                <w:szCs w:val="20"/>
              </w:rPr>
            </w:pPr>
            <w:r>
              <w:rPr>
                <w:color w:val="333333"/>
                <w:sz w:val="20"/>
                <w:szCs w:val="20"/>
              </w:rPr>
              <w:t xml:space="preserve">- Implementación de incentivos para conductores con buenas prácticas, junto con recomendaciones </w:t>
            </w:r>
            <w:r w:rsidR="00432377">
              <w:rPr>
                <w:color w:val="333333"/>
                <w:sz w:val="20"/>
                <w:szCs w:val="20"/>
              </w:rPr>
              <w:t>para promover</w:t>
            </w:r>
            <w:r>
              <w:rPr>
                <w:color w:val="333333"/>
                <w:sz w:val="20"/>
                <w:szCs w:val="20"/>
              </w:rPr>
              <w:t xml:space="preserve"> pausas activas y tiempos de descanso.</w:t>
            </w:r>
          </w:p>
          <w:p w14:paraId="0ECDC2C7" w14:textId="77777777" w:rsidR="00D665A9" w:rsidRDefault="00D665A9" w:rsidP="00A521D9">
            <w:pPr>
              <w:spacing w:before="240" w:after="160"/>
              <w:rPr>
                <w:color w:val="333333"/>
                <w:sz w:val="20"/>
                <w:szCs w:val="20"/>
              </w:rPr>
            </w:pPr>
            <w:r>
              <w:rPr>
                <w:color w:val="333333"/>
                <w:sz w:val="20"/>
                <w:szCs w:val="20"/>
              </w:rPr>
              <w:t>- Control de horarios de tránsito y tiempos de conducción para evitar fatiga.</w:t>
            </w:r>
          </w:p>
          <w:p w14:paraId="06B609BD" w14:textId="77777777" w:rsidR="00D665A9" w:rsidRDefault="00D665A9" w:rsidP="00A521D9">
            <w:pPr>
              <w:spacing w:before="240" w:after="160"/>
              <w:rPr>
                <w:color w:val="333333"/>
                <w:sz w:val="20"/>
                <w:szCs w:val="20"/>
              </w:rPr>
            </w:pPr>
            <w:r>
              <w:rPr>
                <w:color w:val="333333"/>
                <w:sz w:val="20"/>
                <w:szCs w:val="20"/>
              </w:rPr>
              <w:t>- Entre 2015 y 2017, hubo 1,466 muertes y 8,689 lesionados en siniestros con vehículos de carga.</w:t>
            </w:r>
          </w:p>
          <w:p w14:paraId="10A0490B" w14:textId="77777777" w:rsidR="00D665A9" w:rsidRDefault="00D665A9" w:rsidP="00A521D9">
            <w:pPr>
              <w:spacing w:before="240" w:after="160"/>
              <w:rPr>
                <w:color w:val="333333"/>
                <w:sz w:val="20"/>
                <w:szCs w:val="20"/>
              </w:rPr>
            </w:pPr>
            <w:r>
              <w:rPr>
                <w:color w:val="333333"/>
                <w:sz w:val="20"/>
                <w:szCs w:val="20"/>
              </w:rPr>
              <w:t xml:space="preserve">- La instalación de cintas </w:t>
            </w:r>
            <w:proofErr w:type="spellStart"/>
            <w:r>
              <w:rPr>
                <w:color w:val="333333"/>
                <w:sz w:val="20"/>
                <w:szCs w:val="20"/>
              </w:rPr>
              <w:t>retrorreflectivas</w:t>
            </w:r>
            <w:proofErr w:type="spellEnd"/>
            <w:r>
              <w:rPr>
                <w:color w:val="333333"/>
                <w:sz w:val="20"/>
                <w:szCs w:val="20"/>
              </w:rPr>
              <w:t xml:space="preserve"> reduce accidentes en condiciones de baja visibilidad.</w:t>
            </w:r>
          </w:p>
        </w:tc>
      </w:tr>
      <w:tr w:rsidR="00D665A9" w14:paraId="44581A65" w14:textId="77777777" w:rsidTr="00A521D9">
        <w:trPr>
          <w:trHeight w:val="304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14:paraId="6991CD6A" w14:textId="77777777" w:rsidR="00D665A9" w:rsidRDefault="00D665A9" w:rsidP="00A521D9">
            <w:pPr>
              <w:spacing w:before="240" w:after="160"/>
              <w:jc w:val="center"/>
              <w:rPr>
                <w:b/>
                <w:i/>
                <w:color w:val="333333"/>
                <w:sz w:val="20"/>
                <w:szCs w:val="20"/>
              </w:rPr>
            </w:pPr>
            <w:r>
              <w:rPr>
                <w:b/>
                <w:i/>
                <w:color w:val="333333"/>
                <w:sz w:val="20"/>
                <w:szCs w:val="20"/>
              </w:rPr>
              <w:t>Cartilla 6 - Transporte de Pasajeros</w:t>
            </w:r>
          </w:p>
        </w:tc>
        <w:tc>
          <w:tcPr>
            <w:tcW w:w="7034" w:type="dxa"/>
            <w:tcBorders>
              <w:top w:val="nil"/>
              <w:left w:val="nil"/>
              <w:bottom w:val="nil"/>
              <w:right w:val="nil"/>
            </w:tcBorders>
            <w:tcMar>
              <w:top w:w="0" w:type="dxa"/>
              <w:left w:w="100" w:type="dxa"/>
              <w:bottom w:w="0" w:type="dxa"/>
              <w:right w:w="100" w:type="dxa"/>
            </w:tcMar>
          </w:tcPr>
          <w:p w14:paraId="198245AF" w14:textId="77777777" w:rsidR="00D665A9" w:rsidRDefault="00D665A9" w:rsidP="00A521D9">
            <w:pPr>
              <w:spacing w:before="240" w:after="160"/>
              <w:rPr>
                <w:color w:val="333333"/>
                <w:sz w:val="20"/>
                <w:szCs w:val="20"/>
              </w:rPr>
            </w:pPr>
            <w:r>
              <w:rPr>
                <w:color w:val="333333"/>
                <w:sz w:val="20"/>
                <w:szCs w:val="20"/>
              </w:rPr>
              <w:t>- Responsabilidad del conductor con los pasajeros.</w:t>
            </w:r>
          </w:p>
          <w:p w14:paraId="35B80CD0" w14:textId="620AF9A9" w:rsidR="00D665A9" w:rsidRDefault="00432377" w:rsidP="00A521D9">
            <w:pPr>
              <w:spacing w:before="240" w:after="160"/>
              <w:rPr>
                <w:color w:val="333333"/>
                <w:sz w:val="20"/>
                <w:szCs w:val="20"/>
              </w:rPr>
            </w:pPr>
            <w:r>
              <w:rPr>
                <w:color w:val="333333"/>
                <w:sz w:val="20"/>
                <w:szCs w:val="20"/>
              </w:rPr>
              <w:t>- C</w:t>
            </w:r>
            <w:r w:rsidR="00D665A9">
              <w:rPr>
                <w:color w:val="333333"/>
                <w:sz w:val="20"/>
                <w:szCs w:val="20"/>
              </w:rPr>
              <w:t>ontrol de velocidad y cumplimiento de normas de tránsito.</w:t>
            </w:r>
          </w:p>
          <w:p w14:paraId="70D050EA" w14:textId="77777777" w:rsidR="00D665A9" w:rsidRDefault="00D665A9" w:rsidP="00A521D9">
            <w:pPr>
              <w:spacing w:before="240" w:after="160"/>
              <w:rPr>
                <w:color w:val="333333"/>
                <w:sz w:val="20"/>
                <w:szCs w:val="20"/>
              </w:rPr>
            </w:pPr>
            <w:r>
              <w:rPr>
                <w:color w:val="333333"/>
                <w:sz w:val="20"/>
                <w:szCs w:val="20"/>
              </w:rPr>
              <w:t>- Uso de tecnologías y herramientas de capacitación innovadoras.</w:t>
            </w:r>
          </w:p>
          <w:p w14:paraId="02BD1A8C" w14:textId="77777777" w:rsidR="00D665A9" w:rsidRDefault="00D665A9" w:rsidP="00A521D9">
            <w:pPr>
              <w:spacing w:before="240" w:after="160"/>
              <w:rPr>
                <w:color w:val="333333"/>
                <w:sz w:val="20"/>
                <w:szCs w:val="20"/>
              </w:rPr>
            </w:pPr>
            <w:r>
              <w:rPr>
                <w:color w:val="333333"/>
                <w:sz w:val="20"/>
                <w:szCs w:val="20"/>
              </w:rPr>
              <w:t>- Regulación de horarios de conducción y descanso.</w:t>
            </w:r>
          </w:p>
          <w:p w14:paraId="2BB011F3" w14:textId="77777777" w:rsidR="00D665A9" w:rsidRDefault="00D665A9" w:rsidP="00A521D9">
            <w:pPr>
              <w:spacing w:before="240" w:after="160"/>
              <w:rPr>
                <w:color w:val="333333"/>
                <w:sz w:val="20"/>
                <w:szCs w:val="20"/>
              </w:rPr>
            </w:pPr>
            <w:r>
              <w:rPr>
                <w:color w:val="333333"/>
                <w:sz w:val="20"/>
                <w:szCs w:val="20"/>
              </w:rPr>
              <w:t>- Importancia del bienestar del conductor para evitar riesgos en el servicio.</w:t>
            </w:r>
          </w:p>
          <w:p w14:paraId="1CAD6DC0" w14:textId="77777777" w:rsidR="00D665A9" w:rsidRDefault="00D665A9" w:rsidP="00A521D9">
            <w:pPr>
              <w:spacing w:before="240" w:after="160"/>
              <w:rPr>
                <w:color w:val="333333"/>
                <w:sz w:val="20"/>
                <w:szCs w:val="20"/>
              </w:rPr>
            </w:pPr>
            <w:r>
              <w:rPr>
                <w:color w:val="333333"/>
                <w:sz w:val="20"/>
                <w:szCs w:val="20"/>
              </w:rPr>
              <w:t>- En 2018, 361 personas fallecieron en siniestros viales en Colombia, de las cuales 17 estaban en taxis.</w:t>
            </w:r>
          </w:p>
        </w:tc>
      </w:tr>
      <w:tr w:rsidR="00D665A9" w14:paraId="17D5273D" w14:textId="77777777" w:rsidTr="00A521D9">
        <w:trPr>
          <w:trHeight w:val="592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14:paraId="02F95EA6" w14:textId="77777777" w:rsidR="00D665A9" w:rsidRDefault="00D665A9" w:rsidP="00A521D9">
            <w:pPr>
              <w:spacing w:before="240" w:after="160"/>
              <w:jc w:val="center"/>
              <w:rPr>
                <w:b/>
                <w:i/>
                <w:color w:val="333333"/>
                <w:sz w:val="20"/>
                <w:szCs w:val="20"/>
              </w:rPr>
            </w:pPr>
            <w:r>
              <w:rPr>
                <w:b/>
                <w:i/>
                <w:color w:val="333333"/>
                <w:sz w:val="20"/>
                <w:szCs w:val="20"/>
              </w:rPr>
              <w:lastRenderedPageBreak/>
              <w:t>Cartilla 7 - Control de la Fatiga en el Transporte Público</w:t>
            </w:r>
          </w:p>
        </w:tc>
        <w:tc>
          <w:tcPr>
            <w:tcW w:w="7034" w:type="dxa"/>
            <w:tcBorders>
              <w:top w:val="nil"/>
              <w:left w:val="nil"/>
              <w:bottom w:val="nil"/>
              <w:right w:val="nil"/>
            </w:tcBorders>
            <w:shd w:val="clear" w:color="auto" w:fill="F2F2F2"/>
            <w:tcMar>
              <w:top w:w="0" w:type="dxa"/>
              <w:left w:w="100" w:type="dxa"/>
              <w:bottom w:w="0" w:type="dxa"/>
              <w:right w:w="100" w:type="dxa"/>
            </w:tcMar>
          </w:tcPr>
          <w:p w14:paraId="33B0C47F" w14:textId="77777777" w:rsidR="00D665A9" w:rsidRDefault="00D665A9" w:rsidP="00A521D9">
            <w:pPr>
              <w:spacing w:before="240" w:after="160"/>
              <w:rPr>
                <w:color w:val="333333"/>
                <w:sz w:val="20"/>
                <w:szCs w:val="20"/>
              </w:rPr>
            </w:pPr>
            <w:r>
              <w:rPr>
                <w:color w:val="333333"/>
                <w:sz w:val="20"/>
                <w:szCs w:val="20"/>
              </w:rPr>
              <w:t>- Impacto de la fatiga en los accidentes de tránsito.</w:t>
            </w:r>
          </w:p>
          <w:p w14:paraId="1F6F0CD7" w14:textId="77777777" w:rsidR="00D665A9" w:rsidRDefault="00D665A9" w:rsidP="00A521D9">
            <w:pPr>
              <w:spacing w:before="240" w:after="160"/>
              <w:rPr>
                <w:color w:val="333333"/>
                <w:sz w:val="20"/>
                <w:szCs w:val="20"/>
              </w:rPr>
            </w:pPr>
            <w:r>
              <w:rPr>
                <w:color w:val="333333"/>
                <w:sz w:val="20"/>
                <w:szCs w:val="20"/>
              </w:rPr>
              <w:t>- Estrategias empresariales para reducir la fatiga en conductores.</w:t>
            </w:r>
          </w:p>
          <w:p w14:paraId="024C5047" w14:textId="77777777" w:rsidR="00D665A9" w:rsidRDefault="00D665A9" w:rsidP="00A521D9">
            <w:pPr>
              <w:spacing w:before="240" w:after="160"/>
              <w:rPr>
                <w:color w:val="333333"/>
                <w:sz w:val="20"/>
                <w:szCs w:val="20"/>
              </w:rPr>
            </w:pPr>
            <w:r>
              <w:rPr>
                <w:color w:val="333333"/>
                <w:sz w:val="20"/>
                <w:szCs w:val="20"/>
              </w:rPr>
              <w:t>- Consecuencias del sueño insuficiente en la seguridad vial.</w:t>
            </w:r>
          </w:p>
          <w:p w14:paraId="44B061CD" w14:textId="77777777" w:rsidR="00D665A9" w:rsidRDefault="00D665A9" w:rsidP="00A521D9">
            <w:pPr>
              <w:spacing w:before="240" w:after="160"/>
              <w:rPr>
                <w:color w:val="333333"/>
                <w:sz w:val="20"/>
                <w:szCs w:val="20"/>
              </w:rPr>
            </w:pPr>
            <w:r>
              <w:rPr>
                <w:color w:val="333333"/>
                <w:sz w:val="20"/>
                <w:szCs w:val="20"/>
              </w:rPr>
              <w:t xml:space="preserve">- Dormir entre </w:t>
            </w:r>
            <w:r>
              <w:rPr>
                <w:b/>
                <w:color w:val="333333"/>
                <w:sz w:val="20"/>
                <w:szCs w:val="20"/>
              </w:rPr>
              <w:t>7 y 8 horas</w:t>
            </w:r>
            <w:r>
              <w:rPr>
                <w:color w:val="333333"/>
                <w:sz w:val="20"/>
                <w:szCs w:val="20"/>
              </w:rPr>
              <w:t xml:space="preserve"> para un mejor desempeño.</w:t>
            </w:r>
          </w:p>
          <w:p w14:paraId="3DA4BD2F" w14:textId="77777777" w:rsidR="00D665A9" w:rsidRDefault="00D665A9" w:rsidP="00A521D9">
            <w:pPr>
              <w:spacing w:before="240" w:after="160"/>
              <w:rPr>
                <w:color w:val="333333"/>
                <w:sz w:val="20"/>
                <w:szCs w:val="20"/>
              </w:rPr>
            </w:pPr>
            <w:r>
              <w:rPr>
                <w:color w:val="333333"/>
                <w:sz w:val="20"/>
                <w:szCs w:val="20"/>
              </w:rPr>
              <w:t>- Evitar cafeína y alcohol antes de dormir.</w:t>
            </w:r>
          </w:p>
          <w:p w14:paraId="73FA7808" w14:textId="77777777" w:rsidR="00D665A9" w:rsidRDefault="00D665A9" w:rsidP="00A521D9">
            <w:pPr>
              <w:spacing w:before="240" w:after="160"/>
              <w:rPr>
                <w:color w:val="333333"/>
                <w:sz w:val="20"/>
                <w:szCs w:val="20"/>
              </w:rPr>
            </w:pPr>
            <w:r>
              <w:rPr>
                <w:color w:val="333333"/>
                <w:sz w:val="20"/>
                <w:szCs w:val="20"/>
              </w:rPr>
              <w:t xml:space="preserve">- Hacer </w:t>
            </w:r>
            <w:r>
              <w:rPr>
                <w:b/>
                <w:color w:val="333333"/>
                <w:sz w:val="20"/>
                <w:szCs w:val="20"/>
              </w:rPr>
              <w:t>pausas de 15 minutos</w:t>
            </w:r>
            <w:r>
              <w:rPr>
                <w:color w:val="333333"/>
                <w:sz w:val="20"/>
                <w:szCs w:val="20"/>
              </w:rPr>
              <w:t xml:space="preserve"> cada 2 horas de conducción.</w:t>
            </w:r>
          </w:p>
          <w:p w14:paraId="6ADBC171" w14:textId="77777777" w:rsidR="00D665A9" w:rsidRDefault="00D665A9" w:rsidP="00A521D9">
            <w:pPr>
              <w:spacing w:before="240" w:after="160"/>
              <w:rPr>
                <w:color w:val="333333"/>
                <w:sz w:val="20"/>
                <w:szCs w:val="20"/>
              </w:rPr>
            </w:pPr>
            <w:r>
              <w:rPr>
                <w:color w:val="333333"/>
                <w:sz w:val="20"/>
                <w:szCs w:val="20"/>
              </w:rPr>
              <w:t xml:space="preserve">- No manejar más de </w:t>
            </w:r>
            <w:r>
              <w:rPr>
                <w:b/>
                <w:color w:val="333333"/>
                <w:sz w:val="20"/>
                <w:szCs w:val="20"/>
              </w:rPr>
              <w:t>8 horas al día</w:t>
            </w:r>
            <w:r>
              <w:rPr>
                <w:color w:val="333333"/>
                <w:sz w:val="20"/>
                <w:szCs w:val="20"/>
              </w:rPr>
              <w:t>.</w:t>
            </w:r>
          </w:p>
          <w:p w14:paraId="0B98F3AE" w14:textId="77777777" w:rsidR="00D665A9" w:rsidRDefault="00D665A9" w:rsidP="00A521D9">
            <w:pPr>
              <w:spacing w:before="240" w:after="160"/>
              <w:rPr>
                <w:color w:val="333333"/>
                <w:sz w:val="20"/>
                <w:szCs w:val="20"/>
              </w:rPr>
            </w:pPr>
            <w:r>
              <w:rPr>
                <w:color w:val="333333"/>
                <w:sz w:val="20"/>
                <w:szCs w:val="20"/>
              </w:rPr>
              <w:t>- Mantener buena ventilación en la cabina para evitar somnolencia.</w:t>
            </w:r>
          </w:p>
          <w:p w14:paraId="05C915C8" w14:textId="77777777" w:rsidR="00D665A9" w:rsidRDefault="00D665A9" w:rsidP="00A521D9">
            <w:pPr>
              <w:spacing w:before="240" w:after="160"/>
              <w:rPr>
                <w:color w:val="333333"/>
                <w:sz w:val="20"/>
                <w:szCs w:val="20"/>
              </w:rPr>
            </w:pPr>
            <w:r>
              <w:rPr>
                <w:color w:val="333333"/>
                <w:sz w:val="20"/>
                <w:szCs w:val="20"/>
              </w:rPr>
              <w:t xml:space="preserve">- Evitar turnos mayores a </w:t>
            </w:r>
            <w:r>
              <w:rPr>
                <w:b/>
                <w:color w:val="333333"/>
                <w:sz w:val="20"/>
                <w:szCs w:val="20"/>
              </w:rPr>
              <w:t>10 horas continuas</w:t>
            </w:r>
            <w:r>
              <w:rPr>
                <w:color w:val="333333"/>
                <w:sz w:val="20"/>
                <w:szCs w:val="20"/>
              </w:rPr>
              <w:t>.</w:t>
            </w:r>
          </w:p>
          <w:p w14:paraId="0E555CA5" w14:textId="77777777" w:rsidR="00D665A9" w:rsidRDefault="00D665A9" w:rsidP="00A521D9">
            <w:pPr>
              <w:spacing w:before="240" w:after="160"/>
              <w:rPr>
                <w:color w:val="333333"/>
                <w:sz w:val="20"/>
                <w:szCs w:val="20"/>
              </w:rPr>
            </w:pPr>
            <w:r>
              <w:rPr>
                <w:color w:val="333333"/>
                <w:sz w:val="20"/>
                <w:szCs w:val="20"/>
              </w:rPr>
              <w:t xml:space="preserve">- </w:t>
            </w:r>
            <w:r>
              <w:rPr>
                <w:b/>
                <w:color w:val="333333"/>
                <w:sz w:val="20"/>
                <w:szCs w:val="20"/>
              </w:rPr>
              <w:t xml:space="preserve">4% de los accidentes en </w:t>
            </w:r>
            <w:proofErr w:type="spellStart"/>
            <w:r>
              <w:rPr>
                <w:b/>
                <w:color w:val="333333"/>
                <w:sz w:val="20"/>
                <w:szCs w:val="20"/>
              </w:rPr>
              <w:t>TransMilenio</w:t>
            </w:r>
            <w:proofErr w:type="spellEnd"/>
            <w:r>
              <w:rPr>
                <w:color w:val="333333"/>
                <w:sz w:val="20"/>
                <w:szCs w:val="20"/>
              </w:rPr>
              <w:t xml:space="preserve"> están relacionados con fatiga.</w:t>
            </w:r>
          </w:p>
          <w:p w14:paraId="7BCFE840" w14:textId="77777777" w:rsidR="00D665A9" w:rsidRDefault="00D665A9" w:rsidP="00A521D9">
            <w:pPr>
              <w:spacing w:before="240" w:after="160"/>
              <w:rPr>
                <w:color w:val="333333"/>
                <w:sz w:val="20"/>
                <w:szCs w:val="20"/>
              </w:rPr>
            </w:pPr>
            <w:r>
              <w:rPr>
                <w:color w:val="333333"/>
                <w:sz w:val="20"/>
                <w:szCs w:val="20"/>
              </w:rPr>
              <w:t xml:space="preserve">- Un </w:t>
            </w:r>
            <w:proofErr w:type="spellStart"/>
            <w:r>
              <w:rPr>
                <w:color w:val="333333"/>
                <w:sz w:val="20"/>
                <w:szCs w:val="20"/>
              </w:rPr>
              <w:t>microsueño</w:t>
            </w:r>
            <w:proofErr w:type="spellEnd"/>
            <w:r>
              <w:rPr>
                <w:color w:val="333333"/>
                <w:sz w:val="20"/>
                <w:szCs w:val="20"/>
              </w:rPr>
              <w:t xml:space="preserve"> de </w:t>
            </w:r>
            <w:r>
              <w:rPr>
                <w:b/>
                <w:color w:val="333333"/>
                <w:sz w:val="20"/>
                <w:szCs w:val="20"/>
              </w:rPr>
              <w:t>2 segundos a 60 km/h</w:t>
            </w:r>
            <w:r>
              <w:rPr>
                <w:color w:val="333333"/>
                <w:sz w:val="20"/>
                <w:szCs w:val="20"/>
              </w:rPr>
              <w:t xml:space="preserve"> equivale a recorrer </w:t>
            </w:r>
            <w:r>
              <w:rPr>
                <w:b/>
                <w:color w:val="333333"/>
                <w:sz w:val="20"/>
                <w:szCs w:val="20"/>
              </w:rPr>
              <w:t>33 metros sin control</w:t>
            </w:r>
            <w:r>
              <w:rPr>
                <w:color w:val="333333"/>
                <w:sz w:val="20"/>
                <w:szCs w:val="20"/>
              </w:rPr>
              <w:t>.</w:t>
            </w:r>
          </w:p>
          <w:p w14:paraId="720DD5EF" w14:textId="77777777" w:rsidR="00D665A9" w:rsidRDefault="00D665A9" w:rsidP="00A521D9">
            <w:pPr>
              <w:spacing w:before="240" w:after="160"/>
              <w:rPr>
                <w:color w:val="333333"/>
                <w:sz w:val="20"/>
                <w:szCs w:val="20"/>
              </w:rPr>
            </w:pPr>
            <w:r>
              <w:rPr>
                <w:color w:val="333333"/>
                <w:sz w:val="20"/>
                <w:szCs w:val="20"/>
              </w:rPr>
              <w:t xml:space="preserve">- </w:t>
            </w:r>
            <w:r>
              <w:rPr>
                <w:b/>
                <w:color w:val="333333"/>
                <w:sz w:val="20"/>
                <w:szCs w:val="20"/>
              </w:rPr>
              <w:t>90% de los siniestros viales</w:t>
            </w:r>
            <w:r>
              <w:rPr>
                <w:color w:val="333333"/>
                <w:sz w:val="20"/>
                <w:szCs w:val="20"/>
              </w:rPr>
              <w:t xml:space="preserve"> están relacionados con </w:t>
            </w:r>
            <w:r>
              <w:rPr>
                <w:b/>
                <w:color w:val="333333"/>
                <w:sz w:val="20"/>
                <w:szCs w:val="20"/>
              </w:rPr>
              <w:t>factores humanos</w:t>
            </w:r>
            <w:r>
              <w:rPr>
                <w:color w:val="333333"/>
                <w:sz w:val="20"/>
                <w:szCs w:val="20"/>
              </w:rPr>
              <w:t>.</w:t>
            </w:r>
          </w:p>
        </w:tc>
      </w:tr>
      <w:tr w:rsidR="00D665A9" w14:paraId="56A7C798" w14:textId="77777777" w:rsidTr="00A521D9">
        <w:trPr>
          <w:trHeight w:val="2805"/>
        </w:trPr>
        <w:tc>
          <w:tcPr>
            <w:tcW w:w="1803" w:type="dxa"/>
            <w:tcBorders>
              <w:top w:val="nil"/>
              <w:left w:val="nil"/>
              <w:bottom w:val="nil"/>
              <w:right w:val="single" w:sz="5" w:space="0" w:color="7F7F7F"/>
            </w:tcBorders>
            <w:shd w:val="clear" w:color="auto" w:fill="FFFFFF"/>
            <w:tcMar>
              <w:top w:w="0" w:type="dxa"/>
              <w:left w:w="100" w:type="dxa"/>
              <w:bottom w:w="0" w:type="dxa"/>
              <w:right w:w="100" w:type="dxa"/>
            </w:tcMar>
          </w:tcPr>
          <w:p w14:paraId="674F1AE9" w14:textId="77777777" w:rsidR="00D665A9" w:rsidRDefault="00D665A9" w:rsidP="00A521D9">
            <w:pPr>
              <w:spacing w:before="240" w:after="160"/>
              <w:jc w:val="center"/>
              <w:rPr>
                <w:b/>
                <w:i/>
                <w:color w:val="333333"/>
                <w:sz w:val="20"/>
                <w:szCs w:val="20"/>
              </w:rPr>
            </w:pPr>
            <w:r>
              <w:rPr>
                <w:b/>
                <w:i/>
                <w:color w:val="333333"/>
                <w:sz w:val="20"/>
                <w:szCs w:val="20"/>
              </w:rPr>
              <w:t>Cartilla 8 - Efectos de la Velocidad en Siniestros</w:t>
            </w:r>
          </w:p>
        </w:tc>
        <w:tc>
          <w:tcPr>
            <w:tcW w:w="7034" w:type="dxa"/>
            <w:tcBorders>
              <w:top w:val="nil"/>
              <w:left w:val="nil"/>
              <w:bottom w:val="nil"/>
              <w:right w:val="nil"/>
            </w:tcBorders>
            <w:tcMar>
              <w:top w:w="0" w:type="dxa"/>
              <w:left w:w="100" w:type="dxa"/>
              <w:bottom w:w="0" w:type="dxa"/>
              <w:right w:w="100" w:type="dxa"/>
            </w:tcMar>
          </w:tcPr>
          <w:p w14:paraId="60C84EFC" w14:textId="77777777" w:rsidR="00D665A9" w:rsidRDefault="00D665A9" w:rsidP="00A521D9">
            <w:pPr>
              <w:spacing w:before="240" w:after="160"/>
              <w:rPr>
                <w:color w:val="333333"/>
                <w:sz w:val="20"/>
                <w:szCs w:val="20"/>
              </w:rPr>
            </w:pPr>
            <w:r>
              <w:rPr>
                <w:color w:val="333333"/>
                <w:sz w:val="20"/>
                <w:szCs w:val="20"/>
              </w:rPr>
              <w:t>- Relación entre la velocidad y la gravedad de los accidentes.</w:t>
            </w:r>
          </w:p>
          <w:p w14:paraId="7F8AFA6D" w14:textId="77777777" w:rsidR="00D665A9" w:rsidRDefault="00D665A9" w:rsidP="00A521D9">
            <w:pPr>
              <w:spacing w:before="240" w:after="160"/>
              <w:rPr>
                <w:color w:val="333333"/>
                <w:sz w:val="20"/>
                <w:szCs w:val="20"/>
              </w:rPr>
            </w:pPr>
            <w:r>
              <w:rPr>
                <w:color w:val="333333"/>
                <w:sz w:val="20"/>
                <w:szCs w:val="20"/>
              </w:rPr>
              <w:t>- Estrategias de gestión de velocidad en empresas.</w:t>
            </w:r>
          </w:p>
          <w:p w14:paraId="11B6227C" w14:textId="77777777" w:rsidR="00D665A9" w:rsidRDefault="00D665A9" w:rsidP="00A521D9">
            <w:pPr>
              <w:spacing w:before="240" w:after="160"/>
              <w:rPr>
                <w:color w:val="333333"/>
                <w:sz w:val="20"/>
                <w:szCs w:val="20"/>
              </w:rPr>
            </w:pPr>
            <w:r>
              <w:rPr>
                <w:color w:val="333333"/>
                <w:sz w:val="20"/>
                <w:szCs w:val="20"/>
              </w:rPr>
              <w:t>- A 50 km/h, un peatón tiene 85% de probabilidad de morir en un accidente, pero a 30 km/h solo 10%.</w:t>
            </w:r>
          </w:p>
          <w:p w14:paraId="13559E54" w14:textId="77777777" w:rsidR="00D665A9" w:rsidRDefault="00D665A9" w:rsidP="00A521D9">
            <w:pPr>
              <w:spacing w:before="240" w:after="160"/>
              <w:rPr>
                <w:color w:val="333333"/>
                <w:sz w:val="20"/>
                <w:szCs w:val="20"/>
              </w:rPr>
            </w:pPr>
            <w:r>
              <w:rPr>
                <w:color w:val="333333"/>
                <w:sz w:val="20"/>
                <w:szCs w:val="20"/>
              </w:rPr>
              <w:t>- Las empresas que controlan la velocidad reducen costos en seguridad social, seguros y reparaciones.</w:t>
            </w:r>
          </w:p>
        </w:tc>
      </w:tr>
    </w:tbl>
    <w:p w14:paraId="7DA0EC34" w14:textId="77777777" w:rsidR="00D665A9" w:rsidRDefault="00D665A9" w:rsidP="00D665A9">
      <w:pPr>
        <w:rPr>
          <w:color w:val="333333"/>
          <w:highlight w:val="white"/>
        </w:rPr>
      </w:pPr>
    </w:p>
    <w:p w14:paraId="21928CDD" w14:textId="71EC7B62" w:rsidR="00D665A9" w:rsidRDefault="00D665A9" w:rsidP="00432377">
      <w:pPr>
        <w:jc w:val="both"/>
        <w:rPr>
          <w:color w:val="333333"/>
          <w:highlight w:val="white"/>
        </w:rPr>
      </w:pPr>
      <w:r>
        <w:rPr>
          <w:color w:val="333333"/>
          <w:highlight w:val="white"/>
        </w:rPr>
        <w:t>Cómo se logra evidenciar en el taller tres (3) y siete (7) la presencia de fatiga o cansancio en los conductores representa un gran riesgo para todos los actores viales, es fundamental como se demostrará en el siguiente apartado mantener prácticas que disminuyan riesgos asociado a situaciones de adormecimiento o desmayo, dificultad para calcular distancias, aumento de estrés y pérdida de</w:t>
      </w:r>
      <w:r w:rsidR="00432377">
        <w:rPr>
          <w:color w:val="333333"/>
          <w:highlight w:val="white"/>
        </w:rPr>
        <w:t xml:space="preserve"> </w:t>
      </w:r>
      <w:r>
        <w:rPr>
          <w:color w:val="333333"/>
          <w:highlight w:val="white"/>
        </w:rPr>
        <w:lastRenderedPageBreak/>
        <w:t xml:space="preserve">paciencia en la vía. Igualmente, como se señala en la </w:t>
      </w:r>
      <w:r>
        <w:rPr>
          <w:i/>
          <w:color w:val="333333"/>
          <w:highlight w:val="white"/>
        </w:rPr>
        <w:t>cartilla de Eco-conducción</w:t>
      </w:r>
      <w:r>
        <w:rPr>
          <w:color w:val="333333"/>
          <w:highlight w:val="white"/>
        </w:rPr>
        <w:t xml:space="preserve"> el evitar el cansancio a la hora de manejar afecta la eficiencia en el consumo de combustible y la sostenibilidad del transporte. Adoptar hábitos de conducción responsable, como realizar pausas activas, mantener una buena hidratación y asegurar un descanso adecuado, contribuye a una movilidad más segura y eficiente, alineándose con los principios de la eco-conducción (Secretaría Distrital de Movilidad, 2017).</w:t>
      </w:r>
    </w:p>
    <w:p w14:paraId="2D68BCBC" w14:textId="18465FA1" w:rsidR="00D665A9" w:rsidRDefault="00D665A9" w:rsidP="006B1E01">
      <w:pPr>
        <w:spacing w:line="276" w:lineRule="auto"/>
        <w:jc w:val="both"/>
      </w:pPr>
    </w:p>
    <w:p w14:paraId="5ECF753C" w14:textId="17FFA4DF" w:rsidR="00432377" w:rsidRDefault="00432377" w:rsidP="00432377">
      <w:pPr>
        <w:pStyle w:val="Prrafodelista"/>
        <w:numPr>
          <w:ilvl w:val="0"/>
          <w:numId w:val="27"/>
        </w:numPr>
        <w:spacing w:line="276" w:lineRule="auto"/>
        <w:jc w:val="both"/>
      </w:pPr>
      <w:r w:rsidRPr="00B00C25">
        <w:rPr>
          <w:b/>
        </w:rPr>
        <w:t>Control de la fatiga y el cansancio en los conductores de buses de las terminales de transporte terrestre de Bogotá</w:t>
      </w:r>
      <w:r>
        <w:t>.</w:t>
      </w:r>
    </w:p>
    <w:p w14:paraId="4564C1D9" w14:textId="2A3CE61E" w:rsidR="00432377" w:rsidRDefault="00432377" w:rsidP="00432377">
      <w:pPr>
        <w:spacing w:line="276" w:lineRule="auto"/>
        <w:jc w:val="both"/>
      </w:pPr>
    </w:p>
    <w:p w14:paraId="701A4452" w14:textId="6BFD19DD" w:rsidR="00432377" w:rsidRDefault="00432377" w:rsidP="00432377">
      <w:pPr>
        <w:jc w:val="both"/>
      </w:pPr>
      <w:r>
        <w:t xml:space="preserve">A este apartado le corresponde explicar de manera detallada la definición de fatiga, sus causas y consecuencias en la salud mental y física de los conductores, así como, los signos que permiten identificarla y gestionarla, por parte de las empresas como responsables de la contratación y de los conductores quienes son los directamente afectados con este problema teniendo en cuenta las condiciones a las que diariamente se ven expuestos con horarios extendidos de trabajo, situaciones de estrés y cansancio acumulado. </w:t>
      </w:r>
    </w:p>
    <w:p w14:paraId="67D61D9B" w14:textId="77777777" w:rsidR="00432377" w:rsidRDefault="00432377" w:rsidP="00432377">
      <w:pPr>
        <w:jc w:val="both"/>
      </w:pPr>
    </w:p>
    <w:p w14:paraId="3ABBE929" w14:textId="77777777" w:rsidR="00432377" w:rsidRDefault="00432377" w:rsidP="00432377">
      <w:pPr>
        <w:jc w:val="both"/>
      </w:pPr>
      <w:r>
        <w:t xml:space="preserve">De manera recurrente se suele asociar el cansancio y la fatiga como conceptos similares, sin embargo, desde diferentes posturas, se relaciona a </w:t>
      </w:r>
      <w:proofErr w:type="spellStart"/>
      <w:r>
        <w:t>está</w:t>
      </w:r>
      <w:proofErr w:type="spellEnd"/>
      <w:r>
        <w:t xml:space="preserve"> última con síntomas generales como ansiedad, depresión, dolor generalizado, alteraciones del sueño, la memoria, la concentración, del estado de vigilia y de la capacidad para realizar tareas de manera segura. (ARL SURA, 2017; Infosalus,2021).</w:t>
      </w:r>
    </w:p>
    <w:p w14:paraId="55ECAEF9" w14:textId="7A6BF26A" w:rsidR="00432377" w:rsidRDefault="00432377" w:rsidP="00432377">
      <w:pPr>
        <w:jc w:val="both"/>
      </w:pPr>
      <w:r>
        <w:t xml:space="preserve">Según la Secretaría de Movilidad, las causas de la fatiga en los conductores están asociadas principalmente a jornadas de conducción extensas, situaciones de estrés laboral debido a la presión en el cumplimiento de tiempos en las rutas asignadas, escenarios de tráfico, malos hábitos de alimentación, descanso, higiene ocupacional </w:t>
      </w:r>
      <w:proofErr w:type="gramStart"/>
      <w:r>
        <w:t>y  descuido</w:t>
      </w:r>
      <w:proofErr w:type="gramEnd"/>
      <w:r>
        <w:t xml:space="preserve"> en las valoraciones de salud. En este sentido, las precauciones que recomienda la entidad están vinculadas a la importancia de descansar, controlar e identificar las actividades que generan fatiga y realizar una verificación permanente del estado de salud y los exámenes de alcoholimetría (p.6). </w:t>
      </w:r>
    </w:p>
    <w:p w14:paraId="1A3FB556" w14:textId="77777777" w:rsidR="00432377" w:rsidRDefault="00432377" w:rsidP="00432377">
      <w:pPr>
        <w:jc w:val="both"/>
      </w:pPr>
    </w:p>
    <w:p w14:paraId="74016191" w14:textId="191C5C37" w:rsidR="00432377" w:rsidRDefault="00432377" w:rsidP="00432377">
      <w:pPr>
        <w:jc w:val="both"/>
      </w:pPr>
      <w:r>
        <w:t xml:space="preserve">Como se señala en la cartilla número 7 </w:t>
      </w:r>
      <w:r>
        <w:rPr>
          <w:i/>
        </w:rPr>
        <w:t xml:space="preserve">“el control de la fatiga en el espacio público” </w:t>
      </w:r>
      <w:r>
        <w:t xml:space="preserve">La fatiga al conducir se manifiesta a través de diversas señales físicas y de comportamiento. Según investigaciones de Sura, una persona que se mantiene alerta parpadea de manera rápida, con cierres de ojos inferiores a un segundo, permanece consciente de su entorno, coordina adecuadamente sus movimientos </w:t>
      </w:r>
      <w:r>
        <w:lastRenderedPageBreak/>
        <w:t xml:space="preserve">corporales y mantiene una actitud conversadora y activa. En contraste, cuando una persona se encuentra fatigada, tiende a realizar parpadeos largos (de dos segundos o más), sostiene la mirada fija, disminuye la interacción con el entorno, reduce su actividad física y puede experimentar episodios breves de sueño conocidos como </w:t>
      </w:r>
      <w:proofErr w:type="spellStart"/>
      <w:r>
        <w:t>microsueños</w:t>
      </w:r>
      <w:proofErr w:type="spellEnd"/>
      <w:r>
        <w:t xml:space="preserve"> (Sura, 2017).</w:t>
      </w:r>
    </w:p>
    <w:p w14:paraId="700A77C1" w14:textId="77777777" w:rsidR="00432377" w:rsidRDefault="00432377" w:rsidP="00432377">
      <w:pPr>
        <w:jc w:val="both"/>
      </w:pPr>
    </w:p>
    <w:p w14:paraId="7408F314" w14:textId="5CA115C8" w:rsidR="00432377" w:rsidRDefault="00432377" w:rsidP="00432377">
      <w:pPr>
        <w:jc w:val="both"/>
      </w:pPr>
      <w:r>
        <w:t>Es por ello, que detectar estos síntomas resulta fundamental, ya que el cansancio compromete las capacidades sensoriales, la percepción, la coordinación motriz y los procesos de razonamiento, afectando gravemente la capacidad para reaccionar ante los riesgos en la vía (Sura).</w:t>
      </w:r>
    </w:p>
    <w:p w14:paraId="2ACD7E70" w14:textId="77777777" w:rsidR="00432377" w:rsidRDefault="00432377" w:rsidP="00432377">
      <w:pPr>
        <w:jc w:val="both"/>
      </w:pPr>
    </w:p>
    <w:p w14:paraId="16624CC4" w14:textId="77777777" w:rsidR="00432377" w:rsidRDefault="00432377" w:rsidP="00432377">
      <w:pPr>
        <w:jc w:val="both"/>
      </w:pPr>
      <w:r>
        <w:t xml:space="preserve">Igualmente, dentro de las recomendaciones que se plantean al interior de la plantilla se señala </w:t>
      </w:r>
      <w:proofErr w:type="gramStart"/>
      <w:r>
        <w:t>que</w:t>
      </w:r>
      <w:proofErr w:type="gramEnd"/>
      <w:r>
        <w:t xml:space="preserve"> para la debida gestión de la fatiga, para los conductores es importante realizar pausas de al menos quince minutos cada dos horas de trayecto, con el fin de descansar y recuperar energía, así como, mantener un ambiente agradable dentro del vehículo que ayude a evitar el cansancio; para ello, se sugiere ventilar la cabina periódicamente, permitiendo el ingreso de aire fresco del exterior.</w:t>
      </w:r>
    </w:p>
    <w:p w14:paraId="5427B07A" w14:textId="77777777" w:rsidR="00432377" w:rsidRDefault="00432377" w:rsidP="00432377">
      <w:pPr>
        <w:spacing w:before="240" w:after="240"/>
        <w:jc w:val="both"/>
      </w:pPr>
      <w:r>
        <w:t xml:space="preserve">Así mismo, en situaciones donde se perciban signos de cansancio, es fundamental no intentar compensar el agotamiento excediendo los límites de velocidad, es necesario mantenerse atento a la conducta de otros vehículos, en particular a quienes invaden bermas o carriles de forma involuntaria, ya que estos comportamientos pueden ser señales de fatiga en otros conductores. </w:t>
      </w:r>
    </w:p>
    <w:p w14:paraId="11AA17C8" w14:textId="77777777" w:rsidR="00432377" w:rsidRDefault="00432377" w:rsidP="00432377">
      <w:pPr>
        <w:spacing w:before="240" w:after="240"/>
        <w:jc w:val="both"/>
      </w:pPr>
      <w:r>
        <w:t>Como última recomendación, se señala que una buena preparación para el viaje implica alistar el vehículo el día anterior y asegurar un descanso adecuado, procurando dormir entre siete y ocho horas por noche. En este sentido, para favorecer un sueño reparador, se debe evitar el consumo de bebidas con cafeína al menos seis horas antes de dormir, así como abstenerse de consumir alcohol y tabaco en ese mismo periodo. (p.10)</w:t>
      </w:r>
    </w:p>
    <w:p w14:paraId="455F16DE" w14:textId="77777777" w:rsidR="00432377" w:rsidRDefault="00432377" w:rsidP="00432377">
      <w:pPr>
        <w:spacing w:before="240" w:after="240"/>
        <w:jc w:val="both"/>
        <w:rPr>
          <w:b/>
        </w:rPr>
      </w:pPr>
      <w:r>
        <w:t xml:space="preserve">A partir de lo expuesto, se puede concluir que factores como los extensos horarios de trabajo, la monotonía de las rutas, la falta de pausas adecuadas para el descanso y la repetición constante de movimientos mecánicos y rutinarios incrementan significativamente el riesgo de fatiga y somnolencia en los conductores de transporte intermunicipal. Esta condición no solo compromete la seguridad del propio operador, sino que también pone en riesgo la vida de los pasajeros y demás actores viales. En este sentido, se reitera la necesidad y pertinencia de fortalecer </w:t>
      </w:r>
      <w:r>
        <w:lastRenderedPageBreak/>
        <w:t>iniciativas como la propuesta, orientadas a la prevención y gestión de la fatiga en las terminales de transporte terrestre automotor del Distrito Capital.</w:t>
      </w:r>
    </w:p>
    <w:p w14:paraId="7D54DDE4" w14:textId="77777777" w:rsidR="00432377" w:rsidRDefault="00432377" w:rsidP="00432377">
      <w:pPr>
        <w:spacing w:line="276" w:lineRule="auto"/>
        <w:jc w:val="both"/>
      </w:pPr>
    </w:p>
    <w:p w14:paraId="4E521579" w14:textId="72B9003B" w:rsidR="00D665A9" w:rsidRPr="00432377" w:rsidRDefault="00432377" w:rsidP="00432377">
      <w:pPr>
        <w:pStyle w:val="Prrafodelista"/>
        <w:numPr>
          <w:ilvl w:val="0"/>
          <w:numId w:val="27"/>
        </w:numPr>
        <w:spacing w:line="276" w:lineRule="auto"/>
        <w:jc w:val="both"/>
      </w:pPr>
      <w:r>
        <w:rPr>
          <w:b/>
        </w:rPr>
        <w:t>Estadísticas de siniestros viales de buses en carretera</w:t>
      </w:r>
    </w:p>
    <w:p w14:paraId="33DBE398" w14:textId="77777777" w:rsidR="00432377" w:rsidRDefault="00432377" w:rsidP="00432377">
      <w:r>
        <w:t xml:space="preserve">El transporte intermunicipal en </w:t>
      </w:r>
      <w:proofErr w:type="spellStart"/>
      <w:r>
        <w:t>Bogota</w:t>
      </w:r>
      <w:proofErr w:type="spellEnd"/>
      <w:r>
        <w:t xml:space="preserve"> y su área metropolitana constituye una parte fundamental de la movilidad regional, conectando a miles de personas diariamente con municipios como Soacha, Chía, </w:t>
      </w:r>
      <w:proofErr w:type="spellStart"/>
      <w:r>
        <w:t>Zipaquira</w:t>
      </w:r>
      <w:proofErr w:type="spellEnd"/>
      <w:r>
        <w:t xml:space="preserve">, </w:t>
      </w:r>
      <w:proofErr w:type="spellStart"/>
      <w:r>
        <w:t>Facatativa</w:t>
      </w:r>
      <w:proofErr w:type="spellEnd"/>
      <w:r>
        <w:t xml:space="preserve">, entre otros. Sin embargo, este servicio también enfrenta desafíos en materia de seguridad. </w:t>
      </w:r>
    </w:p>
    <w:p w14:paraId="15B71B22" w14:textId="77777777" w:rsidR="00432377" w:rsidRDefault="00432377" w:rsidP="00432377">
      <w:pPr>
        <w:rPr>
          <w:b/>
        </w:rPr>
      </w:pPr>
      <w:r>
        <w:rPr>
          <w:b/>
        </w:rPr>
        <w:t xml:space="preserve">Análisis de causas de siniestros </w:t>
      </w:r>
    </w:p>
    <w:p w14:paraId="2C98A3D2" w14:textId="77777777" w:rsidR="00432377" w:rsidRDefault="00432377" w:rsidP="00432377">
      <w:r>
        <w:t xml:space="preserve">Según el Observatorio Nacional de Seguridad Vial y reportes de Secretaria de Movilidad de Bogotá, las principales causas de siniestros en este tipo de transporte son: </w:t>
      </w:r>
    </w:p>
    <w:p w14:paraId="76D1792A" w14:textId="77777777" w:rsidR="00432377" w:rsidRDefault="00432377" w:rsidP="00432377">
      <w:pPr>
        <w:numPr>
          <w:ilvl w:val="0"/>
          <w:numId w:val="29"/>
        </w:numPr>
        <w:spacing w:line="276" w:lineRule="auto"/>
        <w:jc w:val="both"/>
      </w:pPr>
      <w:r>
        <w:rPr>
          <w:b/>
        </w:rPr>
        <w:t>Exceso de velocidad</w:t>
      </w:r>
      <w:r>
        <w:t xml:space="preserve">: especialmente en corredores como la Autopista Norte y la calle 80. </w:t>
      </w:r>
    </w:p>
    <w:p w14:paraId="5D224435" w14:textId="77777777" w:rsidR="00432377" w:rsidRDefault="00432377" w:rsidP="00432377">
      <w:pPr>
        <w:numPr>
          <w:ilvl w:val="0"/>
          <w:numId w:val="29"/>
        </w:numPr>
        <w:spacing w:line="276" w:lineRule="auto"/>
        <w:jc w:val="both"/>
      </w:pPr>
      <w:r>
        <w:rPr>
          <w:b/>
        </w:rPr>
        <w:t>Fatiga y canción de los conductores</w:t>
      </w:r>
      <w:r>
        <w:t xml:space="preserve">: el 65% de los conductores en rutas aledañas a Bogotá trabajan más de 12 horas diarias (encuesta sector de Transporte, 2023). Turnos nocturnos: la falta de descanso en horarios biológicamente críticos (12:00 am. - 5:00 am) aumentan el riesgo de </w:t>
      </w:r>
      <w:proofErr w:type="spellStart"/>
      <w:r>
        <w:t>microsueños</w:t>
      </w:r>
      <w:proofErr w:type="spellEnd"/>
      <w:r>
        <w:t>.</w:t>
      </w:r>
    </w:p>
    <w:p w14:paraId="069F7A27" w14:textId="77777777" w:rsidR="00432377" w:rsidRDefault="00432377" w:rsidP="00432377">
      <w:pPr>
        <w:numPr>
          <w:ilvl w:val="0"/>
          <w:numId w:val="29"/>
        </w:numPr>
        <w:spacing w:line="276" w:lineRule="auto"/>
        <w:jc w:val="both"/>
      </w:pPr>
      <w:r>
        <w:rPr>
          <w:b/>
        </w:rPr>
        <w:t>Condiciones climáticas adversas</w:t>
      </w:r>
      <w:r>
        <w:t xml:space="preserve">: lluvias frecuentes afectan la visibilidad y adherencia del pavimento. </w:t>
      </w:r>
    </w:p>
    <w:p w14:paraId="2F1DD5ED" w14:textId="77777777" w:rsidR="00432377" w:rsidRDefault="00432377" w:rsidP="00432377">
      <w:pPr>
        <w:numPr>
          <w:ilvl w:val="0"/>
          <w:numId w:val="29"/>
        </w:numPr>
        <w:spacing w:line="276" w:lineRule="auto"/>
        <w:jc w:val="both"/>
      </w:pPr>
      <w:r>
        <w:rPr>
          <w:b/>
        </w:rPr>
        <w:t>Mal estado de las vías</w:t>
      </w:r>
      <w:r>
        <w:t xml:space="preserve">: huecos o señalización deficiente en zonas rurales o de alto tráfico. </w:t>
      </w:r>
    </w:p>
    <w:p w14:paraId="26A4C1F0" w14:textId="77777777" w:rsidR="00432377" w:rsidRDefault="00432377" w:rsidP="00432377">
      <w:pPr>
        <w:numPr>
          <w:ilvl w:val="0"/>
          <w:numId w:val="29"/>
        </w:numPr>
        <w:spacing w:line="276" w:lineRule="auto"/>
        <w:jc w:val="both"/>
      </w:pPr>
      <w:r>
        <w:rPr>
          <w:b/>
        </w:rPr>
        <w:t>Fallas mecánicas</w:t>
      </w:r>
      <w:r>
        <w:t xml:space="preserve">: buses sin mantenimiento adecuado o con revisiones técnico-mecánicas vencidas.   </w:t>
      </w:r>
    </w:p>
    <w:p w14:paraId="19B0C9B0" w14:textId="77777777" w:rsidR="00432377" w:rsidRDefault="00432377" w:rsidP="00432377">
      <w:pPr>
        <w:ind w:left="720"/>
      </w:pPr>
    </w:p>
    <w:p w14:paraId="2E3632F0" w14:textId="77777777" w:rsidR="00432377" w:rsidRDefault="00432377" w:rsidP="00432377">
      <w:pPr>
        <w:rPr>
          <w:b/>
        </w:rPr>
      </w:pPr>
      <w:r>
        <w:rPr>
          <w:b/>
        </w:rPr>
        <w:t xml:space="preserve">Cuadro </w:t>
      </w:r>
      <w:proofErr w:type="gramStart"/>
      <w:r>
        <w:rPr>
          <w:b/>
        </w:rPr>
        <w:t>Comparativo  de</w:t>
      </w:r>
      <w:proofErr w:type="gramEnd"/>
      <w:r>
        <w:rPr>
          <w:b/>
        </w:rPr>
        <w:t xml:space="preserve"> siniestros de buses intermunicipales (2023 y 2024)</w:t>
      </w:r>
    </w:p>
    <w:tbl>
      <w:tblPr>
        <w:tblW w:w="6690" w:type="dxa"/>
        <w:tblBorders>
          <w:top w:val="nil"/>
          <w:left w:val="nil"/>
          <w:bottom w:val="nil"/>
          <w:right w:val="nil"/>
          <w:insideH w:val="nil"/>
          <w:insideV w:val="nil"/>
        </w:tblBorders>
        <w:tblLayout w:type="fixed"/>
        <w:tblLook w:val="0600" w:firstRow="0" w:lastRow="0" w:firstColumn="0" w:lastColumn="0" w:noHBand="1" w:noVBand="1"/>
      </w:tblPr>
      <w:tblGrid>
        <w:gridCol w:w="2790"/>
        <w:gridCol w:w="2070"/>
        <w:gridCol w:w="1830"/>
      </w:tblGrid>
      <w:tr w:rsidR="00432377" w14:paraId="7AFD93BB" w14:textId="77777777" w:rsidTr="00A521D9">
        <w:trPr>
          <w:trHeight w:val="285"/>
        </w:trPr>
        <w:tc>
          <w:tcPr>
            <w:tcW w:w="279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04CFE65" w14:textId="77777777" w:rsidR="00432377" w:rsidRDefault="00432377" w:rsidP="00A521D9">
            <w:pPr>
              <w:spacing w:before="240"/>
              <w:jc w:val="center"/>
              <w:rPr>
                <w:b/>
              </w:rPr>
            </w:pPr>
            <w:r>
              <w:rPr>
                <w:b/>
              </w:rPr>
              <w:t>Categoría</w:t>
            </w:r>
          </w:p>
        </w:tc>
        <w:tc>
          <w:tcPr>
            <w:tcW w:w="207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4C86765" w14:textId="77777777" w:rsidR="00432377" w:rsidRDefault="00432377" w:rsidP="00A521D9">
            <w:pPr>
              <w:spacing w:before="240"/>
              <w:jc w:val="center"/>
              <w:rPr>
                <w:b/>
              </w:rPr>
            </w:pPr>
            <w:r>
              <w:rPr>
                <w:b/>
              </w:rPr>
              <w:t>2023</w:t>
            </w:r>
          </w:p>
        </w:tc>
        <w:tc>
          <w:tcPr>
            <w:tcW w:w="183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7336D87" w14:textId="77777777" w:rsidR="00432377" w:rsidRDefault="00432377" w:rsidP="00A521D9">
            <w:pPr>
              <w:spacing w:before="240"/>
              <w:jc w:val="center"/>
              <w:rPr>
                <w:b/>
              </w:rPr>
            </w:pPr>
            <w:r>
              <w:rPr>
                <w:b/>
              </w:rPr>
              <w:t>2024 (enero-marzo)</w:t>
            </w:r>
          </w:p>
        </w:tc>
      </w:tr>
      <w:tr w:rsidR="00432377" w14:paraId="5CA8E030" w14:textId="77777777" w:rsidTr="00A521D9">
        <w:trPr>
          <w:trHeight w:val="82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D1955E8" w14:textId="77777777" w:rsidR="00432377" w:rsidRDefault="00432377" w:rsidP="00A521D9">
            <w:pPr>
              <w:spacing w:before="240"/>
              <w:jc w:val="center"/>
            </w:pPr>
            <w:r>
              <w:t xml:space="preserve">Total de siniestro Bogotá  </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14:paraId="0001918F" w14:textId="77777777" w:rsidR="00432377" w:rsidRDefault="00432377" w:rsidP="00A521D9">
            <w:pPr>
              <w:spacing w:before="240"/>
              <w:jc w:val="center"/>
            </w:pPr>
            <w:r>
              <w:t>200</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14:paraId="5739BA31" w14:textId="77777777" w:rsidR="00432377" w:rsidRDefault="00432377" w:rsidP="00A521D9">
            <w:pPr>
              <w:spacing w:before="240"/>
              <w:jc w:val="center"/>
            </w:pPr>
            <w:r>
              <w:t>45</w:t>
            </w:r>
          </w:p>
        </w:tc>
      </w:tr>
      <w:tr w:rsidR="00432377" w14:paraId="12D980D7" w14:textId="77777777" w:rsidTr="00A521D9">
        <w:trPr>
          <w:trHeight w:val="55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5AD78D6" w14:textId="77777777" w:rsidR="00432377" w:rsidRDefault="00432377" w:rsidP="00A521D9">
            <w:pPr>
              <w:spacing w:before="240"/>
              <w:jc w:val="center"/>
            </w:pPr>
            <w:r>
              <w:lastRenderedPageBreak/>
              <w:t>Total de siniestros Cundinamarca</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14:paraId="7B019D0E" w14:textId="77777777" w:rsidR="00432377" w:rsidRDefault="00432377" w:rsidP="00A521D9">
            <w:pPr>
              <w:spacing w:before="240"/>
              <w:jc w:val="center"/>
            </w:pPr>
            <w:r>
              <w:t>350</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14:paraId="07F310D5" w14:textId="77777777" w:rsidR="00432377" w:rsidRDefault="00432377" w:rsidP="00A521D9">
            <w:pPr>
              <w:spacing w:before="240"/>
              <w:jc w:val="center"/>
            </w:pPr>
            <w:r>
              <w:t>85</w:t>
            </w:r>
          </w:p>
        </w:tc>
      </w:tr>
      <w:tr w:rsidR="00432377" w14:paraId="071BD50E" w14:textId="77777777" w:rsidTr="00A521D9">
        <w:trPr>
          <w:trHeight w:val="28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D307A31" w14:textId="77777777" w:rsidR="00432377" w:rsidRDefault="00432377" w:rsidP="00A521D9">
            <w:pPr>
              <w:spacing w:before="240"/>
              <w:jc w:val="center"/>
            </w:pPr>
            <w:r>
              <w:t>Víctimas fatales</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14:paraId="07CC8B96" w14:textId="77777777" w:rsidR="00432377" w:rsidRDefault="00432377" w:rsidP="00A521D9">
            <w:pPr>
              <w:spacing w:before="240"/>
              <w:jc w:val="center"/>
            </w:pPr>
            <w:r>
              <w:t>22</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14:paraId="4D13AE8A" w14:textId="77777777" w:rsidR="00432377" w:rsidRDefault="00432377" w:rsidP="00A521D9">
            <w:pPr>
              <w:spacing w:before="240"/>
              <w:jc w:val="center"/>
            </w:pPr>
            <w:r>
              <w:t>4</w:t>
            </w:r>
          </w:p>
        </w:tc>
      </w:tr>
      <w:tr w:rsidR="00432377" w14:paraId="248CB3A3" w14:textId="77777777" w:rsidTr="00A521D9">
        <w:trPr>
          <w:trHeight w:val="55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1C9234C" w14:textId="77777777" w:rsidR="00432377" w:rsidRDefault="00432377" w:rsidP="00A521D9">
            <w:pPr>
              <w:spacing w:before="240"/>
              <w:jc w:val="center"/>
            </w:pPr>
            <w:r>
              <w:t>Causas más comunes</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14:paraId="2C5BF0B4" w14:textId="77777777" w:rsidR="00432377" w:rsidRDefault="00432377" w:rsidP="00A521D9">
            <w:pPr>
              <w:spacing w:before="240"/>
              <w:jc w:val="center"/>
            </w:pPr>
            <w:r>
              <w:t>Velocidad, fatiga, fallas</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14:paraId="5E2DF7EA" w14:textId="77777777" w:rsidR="00432377" w:rsidRDefault="00432377" w:rsidP="00A521D9">
            <w:pPr>
              <w:spacing w:before="240"/>
              <w:jc w:val="center"/>
            </w:pPr>
            <w:r>
              <w:t>Velocidad, fatiga, fallas</w:t>
            </w:r>
          </w:p>
        </w:tc>
      </w:tr>
      <w:tr w:rsidR="00432377" w14:paraId="511CCFC1" w14:textId="77777777" w:rsidTr="00A521D9">
        <w:trPr>
          <w:trHeight w:val="555"/>
        </w:trPr>
        <w:tc>
          <w:tcPr>
            <w:tcW w:w="27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4D42FB5" w14:textId="77777777" w:rsidR="00432377" w:rsidRDefault="00432377" w:rsidP="00A521D9">
            <w:pPr>
              <w:spacing w:before="240"/>
              <w:jc w:val="center"/>
            </w:pPr>
            <w:r>
              <w:t>Corredores críticos</w:t>
            </w:r>
          </w:p>
        </w:tc>
        <w:tc>
          <w:tcPr>
            <w:tcW w:w="2070" w:type="dxa"/>
            <w:tcBorders>
              <w:top w:val="nil"/>
              <w:left w:val="nil"/>
              <w:bottom w:val="single" w:sz="6" w:space="0" w:color="000000"/>
              <w:right w:val="single" w:sz="6" w:space="0" w:color="000000"/>
            </w:tcBorders>
            <w:tcMar>
              <w:top w:w="0" w:type="dxa"/>
              <w:left w:w="100" w:type="dxa"/>
              <w:bottom w:w="0" w:type="dxa"/>
              <w:right w:w="100" w:type="dxa"/>
            </w:tcMar>
          </w:tcPr>
          <w:p w14:paraId="1B371523" w14:textId="77777777" w:rsidR="00432377" w:rsidRDefault="00432377" w:rsidP="00A521D9">
            <w:pPr>
              <w:spacing w:before="240"/>
              <w:jc w:val="center"/>
            </w:pPr>
            <w:r>
              <w:t>Autopista Sur, Norte, Calle 80</w:t>
            </w:r>
          </w:p>
        </w:tc>
        <w:tc>
          <w:tcPr>
            <w:tcW w:w="1830" w:type="dxa"/>
            <w:tcBorders>
              <w:top w:val="nil"/>
              <w:left w:val="nil"/>
              <w:bottom w:val="single" w:sz="6" w:space="0" w:color="000000"/>
              <w:right w:val="single" w:sz="6" w:space="0" w:color="000000"/>
            </w:tcBorders>
            <w:tcMar>
              <w:top w:w="0" w:type="dxa"/>
              <w:left w:w="100" w:type="dxa"/>
              <w:bottom w:w="0" w:type="dxa"/>
              <w:right w:w="100" w:type="dxa"/>
            </w:tcMar>
          </w:tcPr>
          <w:p w14:paraId="2B32A626" w14:textId="77777777" w:rsidR="00432377" w:rsidRDefault="00432377" w:rsidP="00A521D9">
            <w:pPr>
              <w:spacing w:before="240"/>
              <w:jc w:val="center"/>
            </w:pPr>
            <w:r>
              <w:t>Autopista Sur, Norte, Calle 80</w:t>
            </w:r>
          </w:p>
        </w:tc>
      </w:tr>
    </w:tbl>
    <w:p w14:paraId="595AF1AF" w14:textId="77777777" w:rsidR="00432377" w:rsidRDefault="00432377" w:rsidP="00432377">
      <w:r>
        <w:t xml:space="preserve">Elaboración propia </w:t>
      </w:r>
    </w:p>
    <w:p w14:paraId="10F6A6DC" w14:textId="77777777" w:rsidR="00432377" w:rsidRDefault="00432377" w:rsidP="00432377"/>
    <w:p w14:paraId="616C090E" w14:textId="77777777" w:rsidR="00432377" w:rsidRDefault="00432377" w:rsidP="00432377">
      <w:r>
        <w:t xml:space="preserve">Durante el año 2023, se registraron aproximadamente 200 siniestros viales en los que estuvieron involucrados buses intermunicipales en Bogotá. En el departamento de Cundinamarca, esta cifra fue la más elevada, alcanzando cerca de 350 siniestros en vías que conectan municipios cercanos con la capital. Para el primer trimestre de 2024, se observa una pequeña reducción en el número de siniestros en comparación con el mismo periodo del año anterior. Bogotá reportó 45 siniestros, mientras que en Cundinamarca se registraron 85 lo que representa una disminución estimada del 5% y 3% respectivamente. </w:t>
      </w:r>
    </w:p>
    <w:p w14:paraId="08A454B3" w14:textId="77777777" w:rsidR="00432377" w:rsidRDefault="00432377" w:rsidP="00432377">
      <w:r>
        <w:t>Entre las causas más frecuentes de estos incidentes se destacan el exceso de velocidad, la fatiga del conductor, fallas mecánicas y las condiciones climáticas adversas. Los corredores viales con mayor incidencia son la Autopista Sur, Autopista Norte, Calle 80 y la salida hacia Soacha. En cuanto a las consecuencias, si bien el número de víctimas fatales es bajo comparado con otros actores viales como motocicletas, en 2023 se registraron 22 fallecimientos en siniestros que involucran buses intermunicipales en la región Bogotá-Cundinamarca. En los primeros tres meses de 2024 la cifra asciende a 4 víctimas fatales, manteniéndose en niveles similares.</w:t>
      </w:r>
    </w:p>
    <w:p w14:paraId="23521F1C" w14:textId="77777777" w:rsidR="00432377" w:rsidRDefault="00432377" w:rsidP="00432377">
      <w:r>
        <w:t xml:space="preserve">Este comportamiento muestra un leve avance en materia de seguridad vial, aunque persiste la necesidad de reforzar controles, capacitaciones y un monitoreo constante de flotas intermunicipales. </w:t>
      </w:r>
      <w:proofErr w:type="gramStart"/>
      <w:r>
        <w:t>Además</w:t>
      </w:r>
      <w:proofErr w:type="gramEnd"/>
      <w:r>
        <w:t xml:space="preserve"> los municipios aledaños a Bogotá, concentran un alto flujo de buses intermunicipales debido a la movilidad laboral, estudiantil y comercial. Estas zonas registran siniestros viales frecuentes por factores como congestión, condiciones climáticas y fallas humanas.  </w:t>
      </w:r>
    </w:p>
    <w:p w14:paraId="208044F9" w14:textId="77777777" w:rsidR="00432377" w:rsidRDefault="00432377" w:rsidP="00432377">
      <w:pPr>
        <w:shd w:val="clear" w:color="auto" w:fill="FFFFFF"/>
      </w:pPr>
      <w:r>
        <w:rPr>
          <w:highlight w:val="white"/>
        </w:rPr>
        <w:t xml:space="preserve">Agencia Nacional de Seguridad Vial (ANSV). (s.f.). </w:t>
      </w:r>
      <w:r>
        <w:rPr>
          <w:i/>
          <w:highlight w:val="white"/>
        </w:rPr>
        <w:t>Histórico de víctimas</w:t>
      </w:r>
      <w:r>
        <w:rPr>
          <w:highlight w:val="white"/>
        </w:rPr>
        <w:t xml:space="preserve">. Observatorio de Seguridad Vial. Gobierno de Colombia. Recuperado el [fecha de </w:t>
      </w:r>
      <w:r>
        <w:rPr>
          <w:highlight w:val="white"/>
        </w:rPr>
        <w:lastRenderedPageBreak/>
        <w:t xml:space="preserve">consulta], de </w:t>
      </w:r>
      <w:hyperlink r:id="rId12">
        <w:r>
          <w:rPr>
            <w:highlight w:val="white"/>
          </w:rPr>
          <w:t>https://ansv.gov.co/es/observatorio/estad%C3%ADsticas/historico-victimas</w:t>
        </w:r>
      </w:hyperlink>
      <w:r>
        <w:t>.</w:t>
      </w:r>
    </w:p>
    <w:p w14:paraId="73E2C917" w14:textId="77777777" w:rsidR="00432377" w:rsidRDefault="00432377" w:rsidP="00432377">
      <w:pPr>
        <w:shd w:val="clear" w:color="auto" w:fill="FFFFFF"/>
      </w:pPr>
    </w:p>
    <w:p w14:paraId="5E495FE1" w14:textId="77777777" w:rsidR="00432377" w:rsidRDefault="00432377" w:rsidP="00432377">
      <w:pPr>
        <w:shd w:val="clear" w:color="auto" w:fill="FFFFFF"/>
      </w:pPr>
      <w:r>
        <w:t xml:space="preserve">Según los datos de la Secretaría de Movilidad de Bogotá y la ANSV, los municipios con más accidentes de buses intermunicipales son:    </w:t>
      </w:r>
    </w:p>
    <w:p w14:paraId="3FF02390" w14:textId="77777777" w:rsidR="00432377" w:rsidRDefault="00432377" w:rsidP="00432377">
      <w:pPr>
        <w:shd w:val="clear" w:color="auto" w:fill="FFFFFF"/>
      </w:pPr>
    </w:p>
    <w:p w14:paraId="7A912992" w14:textId="77777777" w:rsidR="00432377" w:rsidRDefault="00432377" w:rsidP="00432377">
      <w:pPr>
        <w:shd w:val="clear" w:color="auto" w:fill="FFFFFF"/>
      </w:pPr>
    </w:p>
    <w:tbl>
      <w:tblPr>
        <w:tblW w:w="8895" w:type="dxa"/>
        <w:tblBorders>
          <w:top w:val="nil"/>
          <w:left w:val="nil"/>
          <w:bottom w:val="nil"/>
          <w:right w:val="nil"/>
          <w:insideH w:val="nil"/>
          <w:insideV w:val="nil"/>
        </w:tblBorders>
        <w:tblLayout w:type="fixed"/>
        <w:tblLook w:val="0600" w:firstRow="0" w:lastRow="0" w:firstColumn="0" w:lastColumn="0" w:noHBand="1" w:noVBand="1"/>
      </w:tblPr>
      <w:tblGrid>
        <w:gridCol w:w="2190"/>
        <w:gridCol w:w="2265"/>
        <w:gridCol w:w="2100"/>
        <w:gridCol w:w="2340"/>
      </w:tblGrid>
      <w:tr w:rsidR="00432377" w14:paraId="4763B9CB" w14:textId="77777777" w:rsidTr="00A521D9">
        <w:trPr>
          <w:trHeight w:val="420"/>
        </w:trPr>
        <w:tc>
          <w:tcPr>
            <w:tcW w:w="219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DF4B336" w14:textId="77777777" w:rsidR="00432377" w:rsidRDefault="00432377" w:rsidP="00A521D9">
            <w:pPr>
              <w:shd w:val="clear" w:color="auto" w:fill="FFFFFF"/>
              <w:spacing w:before="240"/>
              <w:rPr>
                <w:b/>
              </w:rPr>
            </w:pPr>
            <w:r>
              <w:rPr>
                <w:b/>
              </w:rPr>
              <w:t>Municipio</w:t>
            </w:r>
          </w:p>
        </w:tc>
        <w:tc>
          <w:tcPr>
            <w:tcW w:w="226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F8BEB1F" w14:textId="77777777" w:rsidR="00432377" w:rsidRDefault="00432377" w:rsidP="00A521D9">
            <w:pPr>
              <w:shd w:val="clear" w:color="auto" w:fill="FFFFFF"/>
              <w:spacing w:before="240"/>
              <w:rPr>
                <w:b/>
              </w:rPr>
            </w:pPr>
            <w:r>
              <w:rPr>
                <w:b/>
              </w:rPr>
              <w:t>Ruta principal</w:t>
            </w:r>
          </w:p>
        </w:tc>
        <w:tc>
          <w:tcPr>
            <w:tcW w:w="210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5C7C932" w14:textId="77777777" w:rsidR="00432377" w:rsidRDefault="00432377" w:rsidP="00A521D9">
            <w:pPr>
              <w:shd w:val="clear" w:color="auto" w:fill="FFFFFF"/>
              <w:spacing w:before="240"/>
              <w:rPr>
                <w:b/>
              </w:rPr>
            </w:pPr>
            <w:r>
              <w:rPr>
                <w:b/>
              </w:rPr>
              <w:t xml:space="preserve">% de siniestros </w:t>
            </w:r>
          </w:p>
        </w:tc>
        <w:tc>
          <w:tcPr>
            <w:tcW w:w="234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C7E6132" w14:textId="77777777" w:rsidR="00432377" w:rsidRDefault="00432377" w:rsidP="00A521D9">
            <w:pPr>
              <w:shd w:val="clear" w:color="auto" w:fill="FFFFFF"/>
              <w:spacing w:before="240"/>
              <w:rPr>
                <w:b/>
              </w:rPr>
            </w:pPr>
            <w:r>
              <w:rPr>
                <w:b/>
              </w:rPr>
              <w:t>Causas comunes</w:t>
            </w:r>
          </w:p>
        </w:tc>
      </w:tr>
      <w:tr w:rsidR="00432377" w14:paraId="64BB7711" w14:textId="77777777" w:rsidTr="00A521D9">
        <w:trPr>
          <w:trHeight w:val="795"/>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7DB79AF" w14:textId="77777777" w:rsidR="00432377" w:rsidRDefault="00432377" w:rsidP="00A521D9">
            <w:pPr>
              <w:shd w:val="clear" w:color="auto" w:fill="FFFFFF"/>
              <w:spacing w:before="240"/>
            </w:pPr>
            <w:r>
              <w:t>Soacha</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14:paraId="19D81FB8" w14:textId="77777777" w:rsidR="00432377" w:rsidRDefault="00432377" w:rsidP="00A521D9">
            <w:pPr>
              <w:shd w:val="clear" w:color="auto" w:fill="FFFFFF"/>
              <w:spacing w:before="240"/>
            </w:pPr>
            <w:r>
              <w:t>Autopista sur</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14:paraId="134593F6" w14:textId="77777777" w:rsidR="00432377" w:rsidRDefault="00432377" w:rsidP="00A521D9">
            <w:pPr>
              <w:shd w:val="clear" w:color="auto" w:fill="FFFFFF"/>
              <w:spacing w:before="240"/>
            </w:pPr>
            <w:r>
              <w:t>23%</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6F4A0E18" w14:textId="77777777" w:rsidR="00432377" w:rsidRDefault="00432377" w:rsidP="00A521D9">
            <w:pPr>
              <w:shd w:val="clear" w:color="auto" w:fill="FFFFFF"/>
              <w:spacing w:before="240"/>
            </w:pPr>
            <w:r>
              <w:t>Exceso de velocidad</w:t>
            </w:r>
          </w:p>
          <w:p w14:paraId="070BA4BC" w14:textId="77777777" w:rsidR="00432377" w:rsidRDefault="00432377" w:rsidP="00A521D9">
            <w:pPr>
              <w:shd w:val="clear" w:color="auto" w:fill="FFFFFF"/>
              <w:spacing w:before="240"/>
            </w:pPr>
            <w:r>
              <w:t>Invasión de carril</w:t>
            </w:r>
          </w:p>
        </w:tc>
      </w:tr>
      <w:tr w:rsidR="00432377" w14:paraId="65A13D60" w14:textId="77777777" w:rsidTr="00A521D9">
        <w:trPr>
          <w:trHeight w:val="795"/>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6D3BEEA" w14:textId="77777777" w:rsidR="00432377" w:rsidRDefault="00432377" w:rsidP="00A521D9">
            <w:pPr>
              <w:shd w:val="clear" w:color="auto" w:fill="FFFFFF"/>
              <w:spacing w:before="240"/>
            </w:pPr>
            <w:r>
              <w:t xml:space="preserve">Facatativá </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14:paraId="044FD487" w14:textId="77777777" w:rsidR="00432377" w:rsidRDefault="00432377" w:rsidP="00A521D9">
            <w:pPr>
              <w:shd w:val="clear" w:color="auto" w:fill="FFFFFF"/>
              <w:spacing w:before="240"/>
            </w:pPr>
            <w:r>
              <w:t>Calle 13</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14:paraId="0598F765" w14:textId="77777777" w:rsidR="00432377" w:rsidRDefault="00432377" w:rsidP="00A521D9">
            <w:pPr>
              <w:shd w:val="clear" w:color="auto" w:fill="FFFFFF"/>
              <w:spacing w:before="240"/>
            </w:pPr>
            <w:r>
              <w:t>15%</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58578195" w14:textId="77777777" w:rsidR="00432377" w:rsidRDefault="00432377" w:rsidP="00A521D9">
            <w:pPr>
              <w:shd w:val="clear" w:color="auto" w:fill="FFFFFF"/>
              <w:spacing w:before="240"/>
            </w:pPr>
            <w:r>
              <w:t>Choques laterales</w:t>
            </w:r>
          </w:p>
          <w:p w14:paraId="30130B32" w14:textId="77777777" w:rsidR="00432377" w:rsidRDefault="00432377" w:rsidP="00A521D9">
            <w:pPr>
              <w:shd w:val="clear" w:color="auto" w:fill="FFFFFF"/>
              <w:spacing w:before="240"/>
            </w:pPr>
            <w:r>
              <w:t xml:space="preserve">Motocicletas  </w:t>
            </w:r>
          </w:p>
        </w:tc>
      </w:tr>
      <w:tr w:rsidR="00432377" w14:paraId="08F544D2" w14:textId="77777777" w:rsidTr="00A521D9">
        <w:trPr>
          <w:trHeight w:val="555"/>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5BC7F43" w14:textId="77777777" w:rsidR="00432377" w:rsidRDefault="00432377" w:rsidP="00A521D9">
            <w:pPr>
              <w:shd w:val="clear" w:color="auto" w:fill="FFFFFF"/>
              <w:spacing w:before="240"/>
            </w:pPr>
            <w:r>
              <w:t>Mosquera</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14:paraId="5B6B230D" w14:textId="77777777" w:rsidR="00432377" w:rsidRDefault="00432377" w:rsidP="00A521D9">
            <w:pPr>
              <w:shd w:val="clear" w:color="auto" w:fill="FFFFFF"/>
              <w:spacing w:before="240"/>
            </w:pPr>
            <w:r>
              <w:t>Vía Bogotá - Facatativá</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14:paraId="382C9159" w14:textId="77777777" w:rsidR="00432377" w:rsidRDefault="00432377" w:rsidP="00A521D9">
            <w:pPr>
              <w:shd w:val="clear" w:color="auto" w:fill="FFFFFF"/>
              <w:spacing w:before="240"/>
            </w:pPr>
            <w:r>
              <w:t>12%</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20D0E531" w14:textId="77777777" w:rsidR="00432377" w:rsidRDefault="00432377" w:rsidP="00A521D9">
            <w:pPr>
              <w:shd w:val="clear" w:color="auto" w:fill="FFFFFF"/>
              <w:spacing w:before="240"/>
            </w:pPr>
            <w:r>
              <w:t>Nieblas y cuervas peligrosas</w:t>
            </w:r>
          </w:p>
        </w:tc>
      </w:tr>
      <w:tr w:rsidR="00432377" w14:paraId="7D74B211" w14:textId="77777777" w:rsidTr="00A521D9">
        <w:trPr>
          <w:trHeight w:val="345"/>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45DF2B9" w14:textId="77777777" w:rsidR="00432377" w:rsidRDefault="00432377" w:rsidP="00A521D9">
            <w:pPr>
              <w:shd w:val="clear" w:color="auto" w:fill="FFFFFF"/>
              <w:spacing w:before="240"/>
            </w:pPr>
            <w:r>
              <w:t>Funza</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14:paraId="63357327" w14:textId="77777777" w:rsidR="00432377" w:rsidRDefault="00432377" w:rsidP="00A521D9">
            <w:pPr>
              <w:shd w:val="clear" w:color="auto" w:fill="FFFFFF"/>
              <w:spacing w:before="240"/>
            </w:pPr>
            <w:proofErr w:type="spellStart"/>
            <w:r>
              <w:t>Bogota</w:t>
            </w:r>
            <w:proofErr w:type="spellEnd"/>
            <w:r>
              <w:t xml:space="preserve"> - Funza </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14:paraId="148F981B" w14:textId="77777777" w:rsidR="00432377" w:rsidRDefault="00432377" w:rsidP="00A521D9">
            <w:pPr>
              <w:shd w:val="clear" w:color="auto" w:fill="FFFFFF"/>
              <w:spacing w:before="240"/>
            </w:pPr>
            <w:r>
              <w:t>10%</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63CAFDBA" w14:textId="77777777" w:rsidR="00432377" w:rsidRDefault="00432377" w:rsidP="00A521D9">
            <w:pPr>
              <w:shd w:val="clear" w:color="auto" w:fill="FFFFFF"/>
              <w:spacing w:before="240"/>
            </w:pPr>
            <w:r>
              <w:t>Fatiga de conductores</w:t>
            </w:r>
          </w:p>
        </w:tc>
      </w:tr>
      <w:tr w:rsidR="00432377" w14:paraId="567B980C" w14:textId="77777777" w:rsidTr="00A521D9">
        <w:trPr>
          <w:trHeight w:val="630"/>
        </w:trPr>
        <w:tc>
          <w:tcPr>
            <w:tcW w:w="219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E02CCB" w14:textId="77777777" w:rsidR="00432377" w:rsidRDefault="00432377" w:rsidP="00A521D9">
            <w:pPr>
              <w:shd w:val="clear" w:color="auto" w:fill="FFFFFF"/>
              <w:spacing w:before="240"/>
            </w:pPr>
            <w:r>
              <w:t>Girardot</w:t>
            </w:r>
          </w:p>
        </w:tc>
        <w:tc>
          <w:tcPr>
            <w:tcW w:w="2265" w:type="dxa"/>
            <w:tcBorders>
              <w:top w:val="nil"/>
              <w:left w:val="nil"/>
              <w:bottom w:val="single" w:sz="6" w:space="0" w:color="000000"/>
              <w:right w:val="single" w:sz="6" w:space="0" w:color="000000"/>
            </w:tcBorders>
            <w:tcMar>
              <w:top w:w="0" w:type="dxa"/>
              <w:left w:w="100" w:type="dxa"/>
              <w:bottom w:w="0" w:type="dxa"/>
              <w:right w:w="100" w:type="dxa"/>
            </w:tcMar>
          </w:tcPr>
          <w:p w14:paraId="3323098A" w14:textId="77777777" w:rsidR="00432377" w:rsidRDefault="00432377" w:rsidP="00A521D9">
            <w:pPr>
              <w:shd w:val="clear" w:color="auto" w:fill="FFFFFF"/>
              <w:spacing w:before="240"/>
            </w:pPr>
            <w:r>
              <w:t>Vía Bogotá – Girardot</w:t>
            </w:r>
          </w:p>
        </w:tc>
        <w:tc>
          <w:tcPr>
            <w:tcW w:w="2100" w:type="dxa"/>
            <w:tcBorders>
              <w:top w:val="nil"/>
              <w:left w:val="nil"/>
              <w:bottom w:val="single" w:sz="6" w:space="0" w:color="000000"/>
              <w:right w:val="single" w:sz="6" w:space="0" w:color="000000"/>
            </w:tcBorders>
            <w:tcMar>
              <w:top w:w="0" w:type="dxa"/>
              <w:left w:w="100" w:type="dxa"/>
              <w:bottom w:w="0" w:type="dxa"/>
              <w:right w:w="100" w:type="dxa"/>
            </w:tcMar>
          </w:tcPr>
          <w:p w14:paraId="6231C9E6" w14:textId="77777777" w:rsidR="00432377" w:rsidRDefault="00432377" w:rsidP="00A521D9">
            <w:pPr>
              <w:shd w:val="clear" w:color="auto" w:fill="FFFFFF"/>
              <w:spacing w:before="240"/>
            </w:pPr>
            <w:r>
              <w:t>8%</w:t>
            </w:r>
          </w:p>
        </w:tc>
        <w:tc>
          <w:tcPr>
            <w:tcW w:w="2340" w:type="dxa"/>
            <w:tcBorders>
              <w:top w:val="nil"/>
              <w:left w:val="nil"/>
              <w:bottom w:val="single" w:sz="6" w:space="0" w:color="000000"/>
              <w:right w:val="single" w:sz="6" w:space="0" w:color="000000"/>
            </w:tcBorders>
            <w:tcMar>
              <w:top w:w="0" w:type="dxa"/>
              <w:left w:w="100" w:type="dxa"/>
              <w:bottom w:w="0" w:type="dxa"/>
              <w:right w:w="100" w:type="dxa"/>
            </w:tcMar>
          </w:tcPr>
          <w:p w14:paraId="2B1B6EEF" w14:textId="77777777" w:rsidR="00432377" w:rsidRDefault="00432377" w:rsidP="00A521D9">
            <w:pPr>
              <w:shd w:val="clear" w:color="auto" w:fill="FFFFFF"/>
              <w:spacing w:before="240"/>
            </w:pPr>
            <w:r>
              <w:t>Peatones cruzando indebidamente</w:t>
            </w:r>
          </w:p>
        </w:tc>
      </w:tr>
    </w:tbl>
    <w:p w14:paraId="5E84DA4D" w14:textId="77777777" w:rsidR="00432377" w:rsidRDefault="00432377" w:rsidP="00432377">
      <w:pPr>
        <w:shd w:val="clear" w:color="auto" w:fill="FFFFFF"/>
      </w:pPr>
    </w:p>
    <w:p w14:paraId="29B7A2ED" w14:textId="77777777" w:rsidR="00432377" w:rsidRDefault="00432377" w:rsidP="00432377">
      <w:pPr>
        <w:shd w:val="clear" w:color="auto" w:fill="FFFFFF"/>
      </w:pPr>
      <w:r>
        <w:rPr>
          <w:b/>
        </w:rPr>
        <w:t>Fuente</w:t>
      </w:r>
      <w:r>
        <w:t>: ANSV (2023), Policía de Carreteras.</w:t>
      </w:r>
    </w:p>
    <w:p w14:paraId="04F2279B" w14:textId="77777777" w:rsidR="00432377" w:rsidRDefault="00432377" w:rsidP="00432377"/>
    <w:p w14:paraId="58E6200D" w14:textId="77777777" w:rsidR="00432377" w:rsidRDefault="00432377" w:rsidP="00B00C25">
      <w:pPr>
        <w:jc w:val="both"/>
      </w:pPr>
      <w:r>
        <w:t xml:space="preserve">Como vemos en el cuadro, Soacha registra el porcentaje más alto de siniestros, con un 23%, concentrados principalmente en la Autopista Sur. Las causas más recurrentes en esta zona son el exceso de velocidad y la invasión de carril, lo que sugiere problemas relacionados con el comportamiento imprudente de los conductores. Le sigue Facatativá, con un 15% de siniestros en la calle 13, donde predomina los choques laterales y la presencia de motocicletas, factores que podrían estar asociados a una alta densidad de tráfico o falta de señalización adecuada.   </w:t>
      </w:r>
    </w:p>
    <w:p w14:paraId="0F687C26" w14:textId="77777777" w:rsidR="00432377" w:rsidRDefault="00432377" w:rsidP="00432377">
      <w:r>
        <w:lastRenderedPageBreak/>
        <w:t xml:space="preserve">En Mosquera, la vía Bogotá-Facatativá acumula un 12% de los siniestros, atribuidos principalmente a condiciones ambientales y geométricas de la vía, como nieblas y curvas peligrosas, que aumentan el riesgo de accidentes. Por su parte, Funza reporta un 10% de siniestros en la vía Bogotá-Funza, donde la fatiga de los conductores emerge como una de las causas principales, posiblemente por trayectos largos o horarios de conducción extendidos.     </w:t>
      </w:r>
    </w:p>
    <w:p w14:paraId="366F8716" w14:textId="77777777" w:rsidR="00432377" w:rsidRDefault="00432377" w:rsidP="00432377">
      <w:r>
        <w:t xml:space="preserve">Finalmente, Girardot presenta el menor porcentaje de siniestralidad (8%) en la vía Bogotá-Girardot, siendo la principal causa los peatones que cruzan indebidamente. Esto indica una necesidad de reforzar la educación vial y la implementación de pasos peatones seguros en esta zona. En conjunto, los datos revelan que las rutas conectadas con Bogotá son las más críticas, con causas que varían desde factores humanos hasta condiciones adversas de las vías, lo que demanda estrategias diferentes para reducir la siniestralidad en cada municipio.    </w:t>
      </w:r>
    </w:p>
    <w:p w14:paraId="6F9E2331" w14:textId="77777777" w:rsidR="00432377" w:rsidRDefault="00432377" w:rsidP="00432377">
      <w:pPr>
        <w:shd w:val="clear" w:color="auto" w:fill="FFFFFF"/>
      </w:pPr>
      <w:r>
        <w:t xml:space="preserve">Secretaría Distrital de Movilidad. (s.f.). </w:t>
      </w:r>
      <w:r>
        <w:rPr>
          <w:i/>
        </w:rPr>
        <w:t>Resultados de búsqueda: "buses intermunicipales"</w:t>
      </w:r>
      <w:r>
        <w:t xml:space="preserve">. Movilidad Bogotá. Recuperado el [fecha de consulta], de </w:t>
      </w:r>
      <w:hyperlink r:id="rId13">
        <w:r>
          <w:t>https://www.movilidadbogota.gov.co/web/search/node/buses%20intermunicipales?page=1</w:t>
        </w:r>
      </w:hyperlink>
    </w:p>
    <w:p w14:paraId="20B90497" w14:textId="77777777" w:rsidR="00432377" w:rsidRDefault="00432377" w:rsidP="00432377">
      <w:pPr>
        <w:rPr>
          <w:b/>
        </w:rPr>
      </w:pPr>
    </w:p>
    <w:p w14:paraId="74F1DD02" w14:textId="77777777" w:rsidR="00432377" w:rsidRDefault="00432377" w:rsidP="00432377">
      <w:pPr>
        <w:rPr>
          <w:b/>
        </w:rPr>
      </w:pPr>
      <w:r>
        <w:rPr>
          <w:b/>
        </w:rPr>
        <w:t xml:space="preserve">Estadísticas de siniestros y noticias en Bogotá. </w:t>
      </w:r>
    </w:p>
    <w:p w14:paraId="7DB892DA" w14:textId="77777777" w:rsidR="00432377" w:rsidRDefault="00432377" w:rsidP="00432377">
      <w:pPr>
        <w:spacing w:before="240" w:after="240"/>
      </w:pPr>
      <w:r>
        <w:rPr>
          <w:highlight w:val="white"/>
        </w:rPr>
        <w:t>En 2024, se registró un total de</w:t>
      </w:r>
      <w:r>
        <w:rPr>
          <w:b/>
          <w:highlight w:val="white"/>
        </w:rPr>
        <w:t xml:space="preserve"> </w:t>
      </w:r>
      <w:r>
        <w:t>12,912 siniestros viales en Bogotá, de los cuales 12,361 dejaron lesionados y 551 resultaron fallecidos. Del total de víctimas mortales (551), el 55% estuvieron relacionadas con choques, mientras que el 38% correspondió a atropellos. La mayor incidencia de estos siniestros fatales ocurrió durante las horas de la tarde-noche y la madrugada, específicamente entre las 15:00 y 18:00 horas y desde las 22:00 hasta las 4:00 horas.</w:t>
      </w:r>
    </w:p>
    <w:p w14:paraId="2CE6C296" w14:textId="77777777" w:rsidR="00432377" w:rsidRDefault="00432377" w:rsidP="00432377">
      <w:pPr>
        <w:spacing w:before="240" w:after="240"/>
      </w:pPr>
      <w:r>
        <w:rPr>
          <w:noProof/>
          <w:lang w:val="es-419" w:eastAsia="es-419"/>
        </w:rPr>
        <w:drawing>
          <wp:inline distT="114300" distB="114300" distL="114300" distR="114300" wp14:anchorId="782206DC" wp14:editId="4C6E3017">
            <wp:extent cx="5561098" cy="1946384"/>
            <wp:effectExtent l="0" t="0" r="0" b="0"/>
            <wp:docPr id="1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l="28427" t="42969" r="30797" b="31715"/>
                    <a:stretch>
                      <a:fillRect/>
                    </a:stretch>
                  </pic:blipFill>
                  <pic:spPr>
                    <a:xfrm>
                      <a:off x="0" y="0"/>
                      <a:ext cx="5561098" cy="1946384"/>
                    </a:xfrm>
                    <a:prstGeom prst="rect">
                      <a:avLst/>
                    </a:prstGeom>
                    <a:ln/>
                  </pic:spPr>
                </pic:pic>
              </a:graphicData>
            </a:graphic>
          </wp:inline>
        </w:drawing>
      </w:r>
    </w:p>
    <w:p w14:paraId="2BC3C50B" w14:textId="77777777" w:rsidR="00432377" w:rsidRDefault="00432377" w:rsidP="00432377">
      <w:r>
        <w:rPr>
          <w:highlight w:val="white"/>
        </w:rPr>
        <w:lastRenderedPageBreak/>
        <w:t xml:space="preserve">Observatorio de Movilidad de Bogotá. (2025). </w:t>
      </w:r>
      <w:r>
        <w:rPr>
          <w:i/>
          <w:highlight w:val="white"/>
        </w:rPr>
        <w:t>[Siniestro graves (con lesionados y con fallecidos)]</w:t>
      </w:r>
      <w:r>
        <w:rPr>
          <w:highlight w:val="white"/>
        </w:rPr>
        <w:t xml:space="preserve"> </w:t>
      </w:r>
    </w:p>
    <w:p w14:paraId="106AF497" w14:textId="77777777" w:rsidR="00432377" w:rsidRDefault="00432377" w:rsidP="00432377"/>
    <w:p w14:paraId="7236042B" w14:textId="77777777" w:rsidR="00432377" w:rsidRDefault="00432377" w:rsidP="00432377">
      <w:r>
        <w:t xml:space="preserve">Lo que observamos en el gráfico es la evolución de los siniestros viales graves, aquellos con lesionados y fallecidos, registrados entre el 2015 al 2024. Los datos muestran fluctuaciones significativas   a lo largo de estos periodos. </w:t>
      </w:r>
    </w:p>
    <w:p w14:paraId="1D4AD21F" w14:textId="77777777" w:rsidR="00432377" w:rsidRDefault="00432377" w:rsidP="00432377">
      <w:r>
        <w:t xml:space="preserve">Entre 2015 y 2018, se observa una tendencia a la baja en el número de siniestros graves. El año 2015 inició con 12.500 casos, seguido de un descanso hasta alcanzar el punto más bajo en el 2018 con 10,926 incidentes. Esta reducción se atribuye a las campañas de seguridad vial, mejoras en la infraestructura y mayor control por parte de las autoridades. Sin embargo, esta tendencia positiva se revirtió abruptamente en 2019, cuando se </w:t>
      </w:r>
      <w:proofErr w:type="gramStart"/>
      <w:r>
        <w:t>registró  el</w:t>
      </w:r>
      <w:proofErr w:type="gramEnd"/>
      <w:r>
        <w:t xml:space="preserve"> pico más alto del periodo con 13,071 siniestros. Este incremento súbito podría relacionarse con un aumento en el parque automotor, relajación de medidas de control en los sistemas de reporte.  </w:t>
      </w:r>
    </w:p>
    <w:p w14:paraId="5A6BA356" w14:textId="77777777" w:rsidR="00432377" w:rsidRDefault="00432377" w:rsidP="00432377">
      <w:r>
        <w:t xml:space="preserve">En el año 2020 marcó el inicio de un descenso, con 12,871 casos, seguido de una caída drástica en 2021, cuando los siniestros graves se redujeron a 8,936. Esta disminución coincide con los periodos más críticos de la pandemia de </w:t>
      </w:r>
      <w:proofErr w:type="spellStart"/>
      <w:r>
        <w:t>covid</w:t>
      </w:r>
      <w:proofErr w:type="spellEnd"/>
      <w:r>
        <w:t xml:space="preserve"> 19, donde las cuarentenas y restricciones de movilidad generaron una reducción significativa en el tráfico vehicular. A partir de 2022 con el levantamiento de las restricciones, los números comenzaron a subir de nuevo, registrando 11.467 casos ese año, y continuaron su tendencia al alza en 2023 (12.887) y 2024 (12,912).      </w:t>
      </w:r>
    </w:p>
    <w:p w14:paraId="6E65FD4B" w14:textId="77777777" w:rsidR="00432377" w:rsidRDefault="00432377" w:rsidP="00432377">
      <w:r>
        <w:t xml:space="preserve">Estos datos reflejan la influencia de factores externos, como la pandemia, en la siniestralidad vial, pero también se destaca la necesidad de mantener políticas públicas efectivas para prevenir accidentes. Los problemas estructurales, como el exceso de velocidad, el incumplimiento de normas de tránsito, la fatiga y el cansancio o las deficiencias de las vías, para reducir estos indicadores, es fundamental reforzar la educación vial, además reforzar la educación de las pausas activas en los conductores, también promover tecnologías que mejoren la seguridad en las carreteras.       </w:t>
      </w:r>
    </w:p>
    <w:p w14:paraId="59B32B64" w14:textId="77777777" w:rsidR="00432377" w:rsidRDefault="00432377" w:rsidP="00432377">
      <w:pPr>
        <w:spacing w:before="240" w:after="240"/>
      </w:pPr>
      <w:r>
        <w:t xml:space="preserve">De los 12.361 siniestros con lesionados, el 69% estuvo relacionado con choques seguido por atropello en un 20%, la ocurrencia de estos lesionados tuvo mayor incidencia en el periodo comprendido entre las 5:00 a las 9:00 y 16:00 a las 20:00. La localidad que registró un mayor número de siniestros con fallecidos y lesionados fueron Kennedy (fallecidos 69, lesionados 1740), Engativá (fallecidos 53, lesionados 1.092), Suba (fallecidos 49, lesionados 1.062).        </w:t>
      </w:r>
    </w:p>
    <w:p w14:paraId="499492FD" w14:textId="77777777" w:rsidR="00432377" w:rsidRDefault="00432377" w:rsidP="00432377">
      <w:pPr>
        <w:rPr>
          <w:b/>
        </w:rPr>
      </w:pPr>
      <w:r>
        <w:rPr>
          <w:b/>
        </w:rPr>
        <w:t>Gráfica 3</w:t>
      </w:r>
    </w:p>
    <w:p w14:paraId="63D7D0D2" w14:textId="77777777" w:rsidR="00432377" w:rsidRDefault="00432377" w:rsidP="00432377">
      <w:pPr>
        <w:rPr>
          <w:b/>
        </w:rPr>
      </w:pPr>
      <w:r>
        <w:rPr>
          <w:b/>
          <w:noProof/>
          <w:lang w:val="es-419" w:eastAsia="es-419"/>
        </w:rPr>
        <w:lastRenderedPageBreak/>
        <w:drawing>
          <wp:inline distT="114300" distB="114300" distL="114300" distR="114300" wp14:anchorId="3A37BA19" wp14:editId="06EB1F76">
            <wp:extent cx="5269155" cy="1741309"/>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l="28765" t="46268" r="31646" b="30393"/>
                    <a:stretch>
                      <a:fillRect/>
                    </a:stretch>
                  </pic:blipFill>
                  <pic:spPr>
                    <a:xfrm>
                      <a:off x="0" y="0"/>
                      <a:ext cx="5269155" cy="1741309"/>
                    </a:xfrm>
                    <a:prstGeom prst="rect">
                      <a:avLst/>
                    </a:prstGeom>
                    <a:ln/>
                  </pic:spPr>
                </pic:pic>
              </a:graphicData>
            </a:graphic>
          </wp:inline>
        </w:drawing>
      </w:r>
    </w:p>
    <w:p w14:paraId="6972EB1E" w14:textId="77777777" w:rsidR="00432377" w:rsidRDefault="00432377" w:rsidP="00432377">
      <w:pPr>
        <w:rPr>
          <w:b/>
        </w:rPr>
      </w:pPr>
      <w:r>
        <w:rPr>
          <w:highlight w:val="white"/>
        </w:rPr>
        <w:t xml:space="preserve">Observatorio de Movilidad de Bogotá. (2025). </w:t>
      </w:r>
      <w:r>
        <w:rPr>
          <w:i/>
          <w:highlight w:val="white"/>
        </w:rPr>
        <w:t>[Siniestro con fallecidos]</w:t>
      </w:r>
      <w:r>
        <w:rPr>
          <w:highlight w:val="white"/>
        </w:rPr>
        <w:t xml:space="preserve"> </w:t>
      </w:r>
    </w:p>
    <w:p w14:paraId="78B2CE23" w14:textId="77777777" w:rsidR="00432377" w:rsidRDefault="00432377" w:rsidP="00432377">
      <w:pPr>
        <w:shd w:val="clear" w:color="auto" w:fill="FFFFFF"/>
      </w:pPr>
      <w:r>
        <w:t>La gráfica 3 refleja la evolución anual de fallecidos por siniestros desde 2015 hasta 2024. En 2015 se registraron 517 víctimas mortales, cifra que incrementó a 543 en 2016. Posteriormente, se observó un descenso durante tres años consecutivos: 523</w:t>
      </w:r>
      <w:r>
        <w:rPr>
          <w:b/>
        </w:rPr>
        <w:t xml:space="preserve"> </w:t>
      </w:r>
      <w:r>
        <w:t>fallecidos en 2017, 485 en 2018 y 469 en 2019.</w:t>
      </w:r>
    </w:p>
    <w:p w14:paraId="7E9B18A9" w14:textId="77777777" w:rsidR="00432377" w:rsidRDefault="00432377" w:rsidP="00432377">
      <w:pPr>
        <w:shd w:val="clear" w:color="auto" w:fill="FFFFFF"/>
      </w:pPr>
    </w:p>
    <w:p w14:paraId="3622430F" w14:textId="53A6553D" w:rsidR="006D3E22" w:rsidRPr="00432377" w:rsidRDefault="00432377" w:rsidP="00432377">
      <w:pPr>
        <w:shd w:val="clear" w:color="auto" w:fill="FFFFFF"/>
        <w:rPr>
          <w:color w:val="404040"/>
        </w:rPr>
      </w:pPr>
      <w:r>
        <w:t>El año 2020 marcó un mínimo histórico (356 casos), atribuible a las restricciones por la pandemia. Sin embargo, a partir de 2021 se evidenció una tendencia alcista: 452 fallecidos (2021), 516 (2022), 526 (2023) y un máximo de 551 en 2024, superando incluso los registros iniciales de 2015-2016</w:t>
      </w:r>
      <w:r>
        <w:rPr>
          <w:color w:val="404040"/>
        </w:rPr>
        <w:t>.</w:t>
      </w:r>
    </w:p>
    <w:p w14:paraId="4CE513DE" w14:textId="77777777" w:rsidR="009B04E8" w:rsidRDefault="009B04E8" w:rsidP="009B04E8">
      <w:pPr>
        <w:spacing w:line="276" w:lineRule="auto"/>
        <w:jc w:val="both"/>
        <w:rPr>
          <w:bCs/>
        </w:rPr>
      </w:pPr>
    </w:p>
    <w:p w14:paraId="65B47387" w14:textId="0A13DECC" w:rsidR="006D3E22" w:rsidRPr="006D3E22" w:rsidRDefault="006D3E22" w:rsidP="006D3E22">
      <w:pPr>
        <w:pStyle w:val="Prrafodelista"/>
        <w:numPr>
          <w:ilvl w:val="0"/>
          <w:numId w:val="15"/>
        </w:numPr>
        <w:spacing w:line="276" w:lineRule="auto"/>
        <w:jc w:val="both"/>
        <w:rPr>
          <w:b/>
        </w:rPr>
      </w:pPr>
      <w:r w:rsidRPr="006D3E22">
        <w:rPr>
          <w:b/>
        </w:rPr>
        <w:t>MARCO JURÍDICO</w:t>
      </w:r>
    </w:p>
    <w:p w14:paraId="42248EB1" w14:textId="77777777" w:rsidR="006D3E22" w:rsidRDefault="006D3E22" w:rsidP="009B04E8">
      <w:pPr>
        <w:spacing w:line="276" w:lineRule="auto"/>
        <w:jc w:val="both"/>
        <w:rPr>
          <w:bCs/>
        </w:rPr>
      </w:pPr>
    </w:p>
    <w:p w14:paraId="42A591A5" w14:textId="77777777" w:rsidR="00362084" w:rsidRDefault="00362084" w:rsidP="001D2355">
      <w:pPr>
        <w:pBdr>
          <w:top w:val="nil"/>
          <w:left w:val="nil"/>
          <w:bottom w:val="nil"/>
          <w:right w:val="nil"/>
          <w:between w:val="nil"/>
        </w:pBdr>
        <w:spacing w:line="276" w:lineRule="auto"/>
        <w:jc w:val="both"/>
      </w:pPr>
    </w:p>
    <w:p w14:paraId="02F37526" w14:textId="77777777" w:rsidR="00EE2B77" w:rsidRDefault="00EE2B77" w:rsidP="00EE2B77">
      <w:pPr>
        <w:pBdr>
          <w:top w:val="nil"/>
          <w:left w:val="nil"/>
          <w:bottom w:val="nil"/>
          <w:right w:val="nil"/>
          <w:between w:val="nil"/>
        </w:pBdr>
        <w:spacing w:line="276" w:lineRule="auto"/>
        <w:ind w:left="360"/>
        <w:jc w:val="both"/>
        <w:rPr>
          <w:b/>
        </w:rPr>
      </w:pPr>
    </w:p>
    <w:p w14:paraId="50E1E36F" w14:textId="77777777" w:rsidR="00EE2B77" w:rsidRPr="00A32060" w:rsidRDefault="00EE2B77" w:rsidP="00EE2B77">
      <w:pPr>
        <w:pStyle w:val="Prrafodelista"/>
        <w:numPr>
          <w:ilvl w:val="0"/>
          <w:numId w:val="15"/>
        </w:numPr>
        <w:spacing w:line="276" w:lineRule="auto"/>
        <w:contextualSpacing w:val="0"/>
        <w:jc w:val="both"/>
        <w:rPr>
          <w:b/>
        </w:rPr>
      </w:pPr>
      <w:r w:rsidRPr="00A32060">
        <w:rPr>
          <w:b/>
        </w:rPr>
        <w:t>COMPETENCIAS DEL CONCEJO</w:t>
      </w:r>
    </w:p>
    <w:p w14:paraId="04DEEEC0" w14:textId="77777777" w:rsidR="00EE2B77" w:rsidRDefault="00EE2B77" w:rsidP="00EE2B77">
      <w:pPr>
        <w:spacing w:line="276" w:lineRule="auto"/>
        <w:jc w:val="both"/>
      </w:pPr>
    </w:p>
    <w:p w14:paraId="6621B759" w14:textId="620803AE" w:rsidR="00362084" w:rsidRDefault="00EE2B77" w:rsidP="00607FE2">
      <w:pPr>
        <w:spacing w:line="276" w:lineRule="auto"/>
      </w:pPr>
      <w:r>
        <w:t>El Concejo de Bogotá es competente para estudiar y aprobar o improbar</w:t>
      </w:r>
      <w:r w:rsidR="00362084">
        <w:t xml:space="preserve"> los proyectos de acuerdo en virtud de </w:t>
      </w:r>
      <w:r>
        <w:t>lo establecido en el Artículo 12 del Decreto ley 1421 de 1993, principalmente en el numeral 1º del artículo 12</w:t>
      </w:r>
      <w:r w:rsidR="00362084">
        <w:t>, y lo contemplado en el artículo 13 sobre iniciativas del mismo Decreto Ley.</w:t>
      </w:r>
    </w:p>
    <w:p w14:paraId="0A7E343A" w14:textId="77777777" w:rsidR="00EE2B77" w:rsidRDefault="00EE2B77" w:rsidP="00EE2B77">
      <w:pPr>
        <w:pStyle w:val="Prrafodelista"/>
        <w:numPr>
          <w:ilvl w:val="0"/>
          <w:numId w:val="15"/>
        </w:numPr>
        <w:pBdr>
          <w:top w:val="nil"/>
          <w:left w:val="nil"/>
          <w:bottom w:val="nil"/>
          <w:right w:val="nil"/>
          <w:between w:val="nil"/>
        </w:pBdr>
        <w:spacing w:line="276" w:lineRule="auto"/>
        <w:contextualSpacing w:val="0"/>
        <w:jc w:val="both"/>
        <w:rPr>
          <w:b/>
        </w:rPr>
      </w:pPr>
      <w:r w:rsidRPr="00A32060">
        <w:rPr>
          <w:b/>
        </w:rPr>
        <w:t>IMPACTO FISCAL</w:t>
      </w:r>
    </w:p>
    <w:p w14:paraId="26A64494" w14:textId="77777777" w:rsidR="00EE2B77" w:rsidRDefault="00EE2B77" w:rsidP="00EE2B77">
      <w:pPr>
        <w:pBdr>
          <w:top w:val="nil"/>
          <w:left w:val="nil"/>
          <w:bottom w:val="nil"/>
          <w:right w:val="nil"/>
          <w:between w:val="nil"/>
        </w:pBdr>
        <w:spacing w:line="276" w:lineRule="auto"/>
        <w:jc w:val="both"/>
        <w:rPr>
          <w:b/>
        </w:rPr>
      </w:pPr>
    </w:p>
    <w:p w14:paraId="40B87F9F" w14:textId="77777777" w:rsidR="00EE2B77" w:rsidRDefault="00EE2B77" w:rsidP="00EE2B77">
      <w:pPr>
        <w:jc w:val="both"/>
      </w:pPr>
    </w:p>
    <w:p w14:paraId="56E618AE" w14:textId="77777777" w:rsidR="00CF5211" w:rsidRDefault="00CF5211" w:rsidP="00EE2B77">
      <w:pPr>
        <w:spacing w:line="276" w:lineRule="auto"/>
        <w:jc w:val="both"/>
      </w:pPr>
    </w:p>
    <w:p w14:paraId="544DA50D" w14:textId="1D0A3762" w:rsidR="00CF5211" w:rsidRDefault="00CF5211" w:rsidP="00CF5211">
      <w:pPr>
        <w:pStyle w:val="Prrafodelista"/>
        <w:widowControl w:val="0"/>
        <w:numPr>
          <w:ilvl w:val="0"/>
          <w:numId w:val="15"/>
        </w:numPr>
        <w:autoSpaceDE w:val="0"/>
        <w:autoSpaceDN w:val="0"/>
        <w:contextualSpacing w:val="0"/>
        <w:jc w:val="both"/>
        <w:rPr>
          <w:b/>
        </w:rPr>
      </w:pPr>
      <w:r>
        <w:rPr>
          <w:b/>
        </w:rPr>
        <w:t xml:space="preserve">CONSIDERACIONES </w:t>
      </w:r>
      <w:r w:rsidR="00607FE2">
        <w:rPr>
          <w:b/>
        </w:rPr>
        <w:t>DEL PONENTE</w:t>
      </w:r>
    </w:p>
    <w:p w14:paraId="41C1B565" w14:textId="77777777" w:rsidR="00CF5211" w:rsidRDefault="00CF5211" w:rsidP="00CF5211">
      <w:pPr>
        <w:jc w:val="both"/>
        <w:rPr>
          <w:b/>
        </w:rPr>
      </w:pPr>
    </w:p>
    <w:p w14:paraId="3115608E" w14:textId="77777777" w:rsidR="00CF5211" w:rsidRDefault="00CF5211" w:rsidP="00EE2B77">
      <w:pPr>
        <w:spacing w:line="276" w:lineRule="auto"/>
        <w:jc w:val="both"/>
      </w:pPr>
    </w:p>
    <w:p w14:paraId="1C25EF5F" w14:textId="77777777" w:rsidR="00EE2B77" w:rsidRDefault="00EE2B77" w:rsidP="00EE2B77">
      <w:pPr>
        <w:jc w:val="both"/>
        <w:rPr>
          <w:lang w:val="es-CO"/>
        </w:rPr>
      </w:pPr>
    </w:p>
    <w:p w14:paraId="765CC36F" w14:textId="77777777" w:rsidR="00EE2B77" w:rsidRDefault="00EE2B77" w:rsidP="00EE2B77">
      <w:pPr>
        <w:pStyle w:val="Prrafodelista"/>
        <w:numPr>
          <w:ilvl w:val="0"/>
          <w:numId w:val="15"/>
        </w:numPr>
        <w:jc w:val="both"/>
        <w:rPr>
          <w:b/>
          <w:lang w:val="es-CO"/>
        </w:rPr>
      </w:pPr>
      <w:r w:rsidRPr="00EE2B77">
        <w:rPr>
          <w:b/>
          <w:lang w:val="es-CO"/>
        </w:rPr>
        <w:t>MODIFICACIONES</w:t>
      </w:r>
    </w:p>
    <w:p w14:paraId="5F39E346" w14:textId="77777777" w:rsidR="00D32856" w:rsidRDefault="00D32856" w:rsidP="00D32856">
      <w:pPr>
        <w:jc w:val="both"/>
        <w:rPr>
          <w:b/>
          <w:lang w:val="es-CO"/>
        </w:rPr>
      </w:pPr>
    </w:p>
    <w:p w14:paraId="6998FF6F" w14:textId="77777777" w:rsidR="00D32856" w:rsidRDefault="00D32856" w:rsidP="00D32856">
      <w:pPr>
        <w:jc w:val="both"/>
        <w:rPr>
          <w:b/>
          <w:lang w:val="es-CO"/>
        </w:rPr>
      </w:pPr>
    </w:p>
    <w:p w14:paraId="3D10F19A" w14:textId="77777777" w:rsidR="00EE2B77" w:rsidRDefault="00EE2B77" w:rsidP="00EE2B77">
      <w:pPr>
        <w:jc w:val="both"/>
        <w:rPr>
          <w:lang w:val="es-CO"/>
        </w:rPr>
      </w:pPr>
    </w:p>
    <w:p w14:paraId="4E116ECC" w14:textId="77777777" w:rsidR="00EE2B77" w:rsidRPr="00F128B0" w:rsidRDefault="00EE2B77" w:rsidP="00EE2B77">
      <w:pPr>
        <w:pStyle w:val="Prrafodelista"/>
        <w:numPr>
          <w:ilvl w:val="0"/>
          <w:numId w:val="15"/>
        </w:numPr>
        <w:jc w:val="both"/>
        <w:rPr>
          <w:b/>
          <w:lang w:val="es-CO"/>
        </w:rPr>
      </w:pPr>
      <w:r w:rsidRPr="00F128B0">
        <w:rPr>
          <w:b/>
          <w:lang w:val="es-CO"/>
        </w:rPr>
        <w:t>CONCLUSIÓN</w:t>
      </w:r>
    </w:p>
    <w:p w14:paraId="0DD45763" w14:textId="77777777" w:rsidR="00EE2B77" w:rsidRPr="00EE2B77" w:rsidRDefault="00EE2B77" w:rsidP="00EE2B77">
      <w:pPr>
        <w:jc w:val="both"/>
        <w:rPr>
          <w:lang w:val="es-CO"/>
        </w:rPr>
      </w:pPr>
    </w:p>
    <w:p w14:paraId="7A8B0BB4" w14:textId="77777777" w:rsidR="00B00C25" w:rsidRDefault="00B00C25" w:rsidP="00EE2B77">
      <w:pPr>
        <w:jc w:val="both"/>
        <w:rPr>
          <w:lang w:val="es-CO"/>
        </w:rPr>
      </w:pPr>
    </w:p>
    <w:p w14:paraId="5619D0C1" w14:textId="6D554027" w:rsidR="00F128B0" w:rsidRDefault="00F128B0" w:rsidP="00EE2B77">
      <w:pPr>
        <w:jc w:val="both"/>
        <w:rPr>
          <w:lang w:val="es-CO"/>
        </w:rPr>
      </w:pPr>
      <w:r>
        <w:rPr>
          <w:lang w:val="es-CO"/>
        </w:rPr>
        <w:t xml:space="preserve">Cordialmente, </w:t>
      </w:r>
    </w:p>
    <w:p w14:paraId="376A6C0F" w14:textId="77777777" w:rsidR="00CF5211" w:rsidRDefault="00CF5211" w:rsidP="00EE2B77">
      <w:pPr>
        <w:jc w:val="both"/>
        <w:rPr>
          <w:lang w:val="es-CO"/>
        </w:rPr>
      </w:pPr>
    </w:p>
    <w:p w14:paraId="08C03D2A" w14:textId="77777777" w:rsidR="00CF5211" w:rsidRDefault="00CF5211" w:rsidP="00EE2B77">
      <w:pPr>
        <w:jc w:val="both"/>
        <w:rPr>
          <w:lang w:val="es-CO"/>
        </w:rPr>
      </w:pPr>
    </w:p>
    <w:p w14:paraId="51F73332" w14:textId="77777777" w:rsidR="00CF5211" w:rsidRDefault="00CF5211" w:rsidP="00EE2B77">
      <w:pPr>
        <w:jc w:val="both"/>
        <w:rPr>
          <w:lang w:val="es-CO"/>
        </w:rPr>
      </w:pPr>
    </w:p>
    <w:p w14:paraId="1373F52F" w14:textId="77777777" w:rsidR="00CF5211" w:rsidRDefault="00CF5211" w:rsidP="00EE2B77">
      <w:pPr>
        <w:jc w:val="both"/>
        <w:rPr>
          <w:lang w:val="es-CO"/>
        </w:rPr>
      </w:pPr>
    </w:p>
    <w:p w14:paraId="6291D4C1" w14:textId="28781CEA" w:rsidR="00CF5211" w:rsidRPr="00EE2B77" w:rsidRDefault="00CF5211" w:rsidP="00CF5211">
      <w:pPr>
        <w:rPr>
          <w:rFonts w:ascii="Times New Roman" w:eastAsia="Times New Roman" w:hAnsi="Times New Roman" w:cs="Times New Roman"/>
          <w:color w:val="auto"/>
          <w:lang w:val="es-CO"/>
        </w:rPr>
      </w:pPr>
      <w:r w:rsidRPr="00EE2B77">
        <w:rPr>
          <w:rFonts w:ascii="Times New Roman" w:eastAsia="Times New Roman" w:hAnsi="Times New Roman" w:cs="Times New Roman"/>
          <w:b/>
          <w:bCs/>
          <w:lang w:val="es-CO"/>
        </w:rPr>
        <w:t>JULIAN USCATEGUI PASTRANA        </w:t>
      </w:r>
    </w:p>
    <w:p w14:paraId="0F9BD14C" w14:textId="45D8C7DC" w:rsidR="00CF5211" w:rsidRPr="00EE2B77" w:rsidRDefault="00CF5211" w:rsidP="00CF5211">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Concejal de Bogotá, D.C.                        </w:t>
      </w:r>
      <w:r>
        <w:rPr>
          <w:rFonts w:ascii="Times New Roman" w:eastAsia="Times New Roman" w:hAnsi="Times New Roman" w:cs="Times New Roman"/>
          <w:lang w:val="es-CO"/>
        </w:rPr>
        <w:t xml:space="preserve">     </w:t>
      </w:r>
    </w:p>
    <w:p w14:paraId="6A68ECC2" w14:textId="77777777" w:rsidR="00783795" w:rsidRDefault="00CF5211" w:rsidP="00CF5211">
      <w:pPr>
        <w:rPr>
          <w:rFonts w:ascii="Times New Roman" w:eastAsia="Times New Roman" w:hAnsi="Times New Roman" w:cs="Times New Roman"/>
          <w:lang w:val="es-CO"/>
        </w:rPr>
      </w:pPr>
      <w:r w:rsidRPr="00EE2B77">
        <w:rPr>
          <w:rFonts w:ascii="Times New Roman" w:eastAsia="Times New Roman" w:hAnsi="Times New Roman" w:cs="Times New Roman"/>
          <w:lang w:val="es-CO"/>
        </w:rPr>
        <w:t>Centro Democrático          </w:t>
      </w:r>
    </w:p>
    <w:p w14:paraId="4D17EDA2" w14:textId="77777777" w:rsidR="00783795" w:rsidRDefault="00783795" w:rsidP="00CF5211">
      <w:pPr>
        <w:rPr>
          <w:rFonts w:ascii="Times New Roman" w:eastAsia="Times New Roman" w:hAnsi="Times New Roman" w:cs="Times New Roman"/>
          <w:lang w:val="es-CO"/>
        </w:rPr>
      </w:pPr>
    </w:p>
    <w:p w14:paraId="0C0F9902" w14:textId="77777777" w:rsidR="001A3708" w:rsidRDefault="001A3708" w:rsidP="00CF5211">
      <w:pPr>
        <w:rPr>
          <w:rFonts w:ascii="Times New Roman" w:eastAsia="Times New Roman" w:hAnsi="Times New Roman" w:cs="Times New Roman"/>
          <w:lang w:val="es-CO"/>
        </w:rPr>
      </w:pPr>
    </w:p>
    <w:p w14:paraId="00049D70" w14:textId="77777777" w:rsidR="001A3708" w:rsidRDefault="001A3708" w:rsidP="00CF5211">
      <w:pPr>
        <w:rPr>
          <w:rFonts w:ascii="Times New Roman" w:eastAsia="Times New Roman" w:hAnsi="Times New Roman" w:cs="Times New Roman"/>
          <w:lang w:val="es-CO"/>
        </w:rPr>
      </w:pPr>
    </w:p>
    <w:p w14:paraId="630A15D1" w14:textId="77777777" w:rsidR="001A3708" w:rsidRDefault="001A3708" w:rsidP="00CF5211">
      <w:pPr>
        <w:rPr>
          <w:rFonts w:ascii="Times New Roman" w:eastAsia="Times New Roman" w:hAnsi="Times New Roman" w:cs="Times New Roman"/>
          <w:lang w:val="es-CO"/>
        </w:rPr>
      </w:pPr>
    </w:p>
    <w:p w14:paraId="6D335120" w14:textId="77777777" w:rsidR="001A3708" w:rsidRDefault="001A3708" w:rsidP="00CF5211">
      <w:pPr>
        <w:rPr>
          <w:rFonts w:ascii="Times New Roman" w:eastAsia="Times New Roman" w:hAnsi="Times New Roman" w:cs="Times New Roman"/>
          <w:lang w:val="es-CO"/>
        </w:rPr>
      </w:pPr>
    </w:p>
    <w:p w14:paraId="110B5F54" w14:textId="77777777" w:rsidR="001A3708" w:rsidRDefault="001A3708" w:rsidP="00CF5211">
      <w:pPr>
        <w:rPr>
          <w:rFonts w:ascii="Times New Roman" w:eastAsia="Times New Roman" w:hAnsi="Times New Roman" w:cs="Times New Roman"/>
          <w:lang w:val="es-CO"/>
        </w:rPr>
      </w:pPr>
    </w:p>
    <w:p w14:paraId="5FE98B2D" w14:textId="77777777" w:rsidR="001A3708" w:rsidRDefault="001A3708" w:rsidP="00CF5211">
      <w:pPr>
        <w:rPr>
          <w:rFonts w:ascii="Times New Roman" w:eastAsia="Times New Roman" w:hAnsi="Times New Roman" w:cs="Times New Roman"/>
          <w:lang w:val="es-CO"/>
        </w:rPr>
      </w:pPr>
    </w:p>
    <w:p w14:paraId="67B91AA3" w14:textId="564FC3D0" w:rsidR="00CF5211" w:rsidRPr="00CF5211" w:rsidRDefault="00CF5211" w:rsidP="00CF5211">
      <w:pPr>
        <w:rPr>
          <w:rFonts w:ascii="Times New Roman" w:eastAsia="Times New Roman" w:hAnsi="Times New Roman" w:cs="Times New Roman"/>
          <w:color w:val="auto"/>
          <w:lang w:val="es-CO"/>
        </w:rPr>
      </w:pPr>
      <w:r w:rsidRPr="00EE2B77">
        <w:rPr>
          <w:rFonts w:ascii="Times New Roman" w:eastAsia="Times New Roman" w:hAnsi="Times New Roman" w:cs="Times New Roman"/>
          <w:lang w:val="es-CO"/>
        </w:rPr>
        <w:t>                   </w:t>
      </w:r>
      <w:r>
        <w:rPr>
          <w:rFonts w:ascii="Times New Roman" w:eastAsia="Times New Roman" w:hAnsi="Times New Roman" w:cs="Times New Roman"/>
          <w:lang w:val="es-CO"/>
        </w:rPr>
        <w:t xml:space="preserve">         </w:t>
      </w:r>
    </w:p>
    <w:p w14:paraId="433FCABD" w14:textId="77777777" w:rsidR="00F128B0" w:rsidRDefault="00F128B0" w:rsidP="00EE2B77">
      <w:pPr>
        <w:jc w:val="both"/>
        <w:rPr>
          <w:lang w:val="es-CO"/>
        </w:rPr>
      </w:pPr>
    </w:p>
    <w:p w14:paraId="0151813E" w14:textId="434CFC31" w:rsidR="00F128B0" w:rsidRPr="00F128B0" w:rsidRDefault="00F128B0" w:rsidP="001A3708">
      <w:pPr>
        <w:pStyle w:val="Prrafodelista"/>
        <w:numPr>
          <w:ilvl w:val="0"/>
          <w:numId w:val="15"/>
        </w:numPr>
        <w:jc w:val="both"/>
        <w:rPr>
          <w:b/>
          <w:lang w:val="es-CO"/>
        </w:rPr>
      </w:pPr>
      <w:r w:rsidRPr="00F128B0">
        <w:rPr>
          <w:b/>
          <w:lang w:val="es-CO"/>
        </w:rPr>
        <w:t xml:space="preserve">TEXTO PROPUESTO </w:t>
      </w:r>
    </w:p>
    <w:p w14:paraId="2ED7CD10" w14:textId="77777777" w:rsidR="00F128B0" w:rsidRDefault="00F128B0" w:rsidP="00F128B0">
      <w:pPr>
        <w:jc w:val="both"/>
        <w:rPr>
          <w:lang w:val="es-CO"/>
        </w:rPr>
      </w:pPr>
    </w:p>
    <w:p w14:paraId="27E2B8BB" w14:textId="77777777" w:rsidR="00F128B0" w:rsidRPr="00F128B0" w:rsidRDefault="00F128B0" w:rsidP="00F128B0">
      <w:pPr>
        <w:jc w:val="both"/>
        <w:rPr>
          <w:lang w:val="es-CO"/>
        </w:rPr>
      </w:pPr>
    </w:p>
    <w:p w14:paraId="3FD59BB6" w14:textId="77777777" w:rsidR="00F128B0" w:rsidRPr="00F128B0" w:rsidRDefault="00F128B0" w:rsidP="00F128B0">
      <w:pPr>
        <w:jc w:val="both"/>
        <w:rPr>
          <w:lang w:val="es-CO"/>
        </w:rPr>
      </w:pPr>
    </w:p>
    <w:p w14:paraId="39F9BE99" w14:textId="51859C11" w:rsidR="003054A3" w:rsidRPr="003054A3" w:rsidRDefault="003054A3" w:rsidP="001A3708">
      <w:pPr>
        <w:rPr>
          <w:b/>
          <w:lang w:val="es-CO"/>
        </w:rPr>
      </w:pPr>
    </w:p>
    <w:p w14:paraId="3D11C82D" w14:textId="77777777" w:rsidR="00F128B0" w:rsidRPr="003054A3" w:rsidRDefault="00F128B0" w:rsidP="00F128B0">
      <w:pPr>
        <w:jc w:val="both"/>
        <w:rPr>
          <w:b/>
          <w:lang w:val="es-CO"/>
        </w:rPr>
      </w:pPr>
    </w:p>
    <w:p w14:paraId="4299B94E" w14:textId="2B6888C2" w:rsidR="00CF5211" w:rsidRPr="001A3708" w:rsidRDefault="003054A3" w:rsidP="001A3708">
      <w:pPr>
        <w:ind w:left="164" w:right="198"/>
        <w:jc w:val="center"/>
      </w:pPr>
      <w:r>
        <w:t>Publíquese</w:t>
      </w:r>
      <w:r>
        <w:rPr>
          <w:spacing w:val="-2"/>
        </w:rPr>
        <w:t xml:space="preserve"> </w:t>
      </w:r>
      <w:r>
        <w:t>y</w:t>
      </w:r>
      <w:r>
        <w:rPr>
          <w:spacing w:val="-1"/>
        </w:rPr>
        <w:t xml:space="preserve"> </w:t>
      </w:r>
      <w:r>
        <w:t>cúmplase</w:t>
      </w:r>
    </w:p>
    <w:p w14:paraId="1E66C792" w14:textId="77777777" w:rsidR="00EE2B77" w:rsidRDefault="00EE2B77" w:rsidP="00EE2B77">
      <w:pPr>
        <w:jc w:val="both"/>
        <w:rPr>
          <w:lang w:val="es-CO"/>
        </w:rPr>
      </w:pPr>
    </w:p>
    <w:p w14:paraId="6802E488" w14:textId="77777777" w:rsidR="00EE2B77" w:rsidRDefault="00EE2B77" w:rsidP="00EE2B77">
      <w:pPr>
        <w:jc w:val="both"/>
        <w:rPr>
          <w:lang w:val="es-CO"/>
        </w:rPr>
      </w:pPr>
    </w:p>
    <w:p w14:paraId="520633F6" w14:textId="77777777" w:rsidR="00EE2B77" w:rsidRDefault="00EE2B77" w:rsidP="00EE2B77">
      <w:pPr>
        <w:jc w:val="both"/>
        <w:rPr>
          <w:lang w:val="es-CO"/>
        </w:rPr>
      </w:pPr>
    </w:p>
    <w:p w14:paraId="53043630" w14:textId="77777777" w:rsidR="00EE2B77" w:rsidRDefault="00EE2B77" w:rsidP="00EE2B77">
      <w:pPr>
        <w:jc w:val="both"/>
        <w:rPr>
          <w:lang w:val="es-CO"/>
        </w:rPr>
      </w:pPr>
    </w:p>
    <w:p w14:paraId="639FB6C3" w14:textId="77777777" w:rsidR="00EE2B77" w:rsidRDefault="00EE2B77" w:rsidP="00EE2B77">
      <w:pPr>
        <w:jc w:val="both"/>
        <w:rPr>
          <w:lang w:val="es-CO"/>
        </w:rPr>
      </w:pPr>
    </w:p>
    <w:p w14:paraId="01334331" w14:textId="77777777" w:rsidR="00EE2B77" w:rsidRDefault="00EE2B77" w:rsidP="00EE2B77">
      <w:pPr>
        <w:jc w:val="both"/>
        <w:rPr>
          <w:lang w:val="es-CO"/>
        </w:rPr>
      </w:pPr>
    </w:p>
    <w:p w14:paraId="26A554F1" w14:textId="77777777" w:rsidR="00EE2B77" w:rsidRDefault="00EE2B77" w:rsidP="00EE2B77">
      <w:pPr>
        <w:jc w:val="both"/>
        <w:rPr>
          <w:lang w:val="es-CO"/>
        </w:rPr>
      </w:pPr>
    </w:p>
    <w:p w14:paraId="2FB8667D" w14:textId="77777777" w:rsidR="00EE2B77" w:rsidRDefault="00EE2B77" w:rsidP="00EE2B77">
      <w:pPr>
        <w:jc w:val="both"/>
        <w:rPr>
          <w:lang w:val="es-CO"/>
        </w:rPr>
      </w:pPr>
    </w:p>
    <w:p w14:paraId="50408C95" w14:textId="77777777" w:rsidR="00EE2B77" w:rsidRDefault="00EE2B77" w:rsidP="00EE2B77">
      <w:pPr>
        <w:jc w:val="both"/>
        <w:rPr>
          <w:lang w:val="es-CO"/>
        </w:rPr>
      </w:pPr>
    </w:p>
    <w:p w14:paraId="575E170B" w14:textId="77777777" w:rsidR="00EE2B77" w:rsidRDefault="00EE2B77" w:rsidP="00EE2B77">
      <w:pPr>
        <w:jc w:val="both"/>
        <w:rPr>
          <w:lang w:val="es-CO"/>
        </w:rPr>
      </w:pPr>
    </w:p>
    <w:p w14:paraId="4FA6DA29" w14:textId="77777777" w:rsidR="00EE2B77" w:rsidRDefault="00EE2B77" w:rsidP="00EE2B77">
      <w:pPr>
        <w:jc w:val="both"/>
        <w:rPr>
          <w:lang w:val="es-CO"/>
        </w:rPr>
      </w:pPr>
    </w:p>
    <w:p w14:paraId="4F0C3694" w14:textId="77777777" w:rsidR="00EE2B77" w:rsidRDefault="00EE2B77" w:rsidP="00EE2B77">
      <w:pPr>
        <w:jc w:val="both"/>
        <w:rPr>
          <w:lang w:val="es-CO"/>
        </w:rPr>
      </w:pPr>
    </w:p>
    <w:p w14:paraId="2296A3E2" w14:textId="77777777" w:rsidR="003048A3" w:rsidRDefault="003048A3" w:rsidP="00CF5211">
      <w:pPr>
        <w:spacing w:line="276" w:lineRule="auto"/>
        <w:rPr>
          <w:sz w:val="22"/>
          <w:szCs w:val="22"/>
          <w:highlight w:val="white"/>
        </w:rPr>
      </w:pPr>
    </w:p>
    <w:sectPr w:rsidR="003048A3">
      <w:headerReference w:type="default" r:id="rId16"/>
      <w:footerReference w:type="even" r:id="rId17"/>
      <w:footerReference w:type="default" r:id="rId18"/>
      <w:pgSz w:w="12242" w:h="15842"/>
      <w:pgMar w:top="1701" w:right="1701" w:bottom="1701" w:left="1701" w:header="1134" w:footer="85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FEFD2B" w14:textId="77777777" w:rsidR="00D7722C" w:rsidRDefault="00D7722C">
      <w:r>
        <w:separator/>
      </w:r>
    </w:p>
  </w:endnote>
  <w:endnote w:type="continuationSeparator" w:id="0">
    <w:p w14:paraId="59FDF07E" w14:textId="77777777" w:rsidR="00D7722C" w:rsidRDefault="00D772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ptos">
    <w:altName w:val="Arial"/>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C732EF" w14:textId="77777777" w:rsidR="003048A3" w:rsidRDefault="00B110F5">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2CF9B8B7" w14:textId="77777777" w:rsidR="003048A3" w:rsidRDefault="003048A3">
    <w:pPr>
      <w:pBdr>
        <w:top w:val="nil"/>
        <w:left w:val="nil"/>
        <w:bottom w:val="nil"/>
        <w:right w:val="nil"/>
        <w:between w:val="nil"/>
      </w:pBdr>
      <w:tabs>
        <w:tab w:val="center" w:pos="4252"/>
        <w:tab w:val="right" w:pos="8504"/>
      </w:tabs>
      <w:ind w:right="360"/>
    </w:pPr>
  </w:p>
  <w:p w14:paraId="03301FAC" w14:textId="77777777" w:rsidR="00146FE5" w:rsidRDefault="00146FE5"/>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20574A" w14:textId="77777777" w:rsidR="003048A3" w:rsidRDefault="003048A3">
    <w:pPr>
      <w:jc w:val="both"/>
      <w:rPr>
        <w:sz w:val="16"/>
        <w:szCs w:val="1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3E5513" w14:textId="77777777" w:rsidR="00D7722C" w:rsidRDefault="00D7722C">
      <w:r>
        <w:separator/>
      </w:r>
    </w:p>
  </w:footnote>
  <w:footnote w:type="continuationSeparator" w:id="0">
    <w:p w14:paraId="7E9593B0" w14:textId="77777777" w:rsidR="00D7722C" w:rsidRDefault="00D7722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7CB891" w14:textId="77777777" w:rsidR="003048A3" w:rsidRDefault="003048A3">
    <w:pPr>
      <w:widowControl w:val="0"/>
      <w:pBdr>
        <w:top w:val="nil"/>
        <w:left w:val="nil"/>
        <w:bottom w:val="nil"/>
        <w:right w:val="nil"/>
        <w:between w:val="nil"/>
      </w:pBdr>
      <w:spacing w:line="276" w:lineRule="auto"/>
      <w:rPr>
        <w:b/>
      </w:rPr>
    </w:pPr>
  </w:p>
  <w:tbl>
    <w:tblPr>
      <w:tblStyle w:val="af"/>
      <w:tblW w:w="8830" w:type="dxa"/>
      <w:tblInd w:w="-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61"/>
      <w:gridCol w:w="4235"/>
      <w:gridCol w:w="2234"/>
    </w:tblGrid>
    <w:tr w:rsidR="003048A3" w14:paraId="00FFFD51" w14:textId="77777777">
      <w:trPr>
        <w:trHeight w:val="454"/>
      </w:trPr>
      <w:tc>
        <w:tcPr>
          <w:tcW w:w="2361" w:type="dxa"/>
          <w:vMerge w:val="restart"/>
          <w:tcBorders>
            <w:top w:val="single" w:sz="4" w:space="0" w:color="000000"/>
            <w:left w:val="single" w:sz="4" w:space="0" w:color="000000"/>
            <w:right w:val="single" w:sz="4" w:space="0" w:color="000000"/>
          </w:tcBorders>
          <w:vAlign w:val="center"/>
        </w:tcPr>
        <w:p w14:paraId="10C14A33" w14:textId="77777777" w:rsidR="003048A3" w:rsidRDefault="003048A3">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14:paraId="624850DB" w14:textId="77777777" w:rsidR="003048A3" w:rsidRDefault="00B110F5">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0B52C298" w14:textId="77777777" w:rsidR="003048A3" w:rsidRDefault="00B110F5">
          <w:pPr>
            <w:rPr>
              <w:sz w:val="16"/>
              <w:szCs w:val="16"/>
            </w:rPr>
          </w:pPr>
          <w:r>
            <w:rPr>
              <w:sz w:val="16"/>
              <w:szCs w:val="16"/>
            </w:rPr>
            <w:t>CÓDIGO</w:t>
          </w:r>
          <w:r>
            <w:rPr>
              <w:color w:val="3366FF"/>
              <w:sz w:val="16"/>
              <w:szCs w:val="16"/>
            </w:rPr>
            <w:t xml:space="preserve">: </w:t>
          </w:r>
          <w:r>
            <w:rPr>
              <w:sz w:val="16"/>
              <w:szCs w:val="16"/>
            </w:rPr>
            <w:t>GNV-FO-002</w:t>
          </w:r>
        </w:p>
      </w:tc>
    </w:tr>
    <w:tr w:rsidR="003048A3" w14:paraId="07FA1D8A" w14:textId="77777777">
      <w:trPr>
        <w:trHeight w:val="454"/>
      </w:trPr>
      <w:tc>
        <w:tcPr>
          <w:tcW w:w="2361" w:type="dxa"/>
          <w:vMerge/>
          <w:tcBorders>
            <w:top w:val="single" w:sz="4" w:space="0" w:color="000000"/>
            <w:left w:val="single" w:sz="4" w:space="0" w:color="000000"/>
            <w:right w:val="single" w:sz="4" w:space="0" w:color="000000"/>
          </w:tcBorders>
          <w:vAlign w:val="center"/>
        </w:tcPr>
        <w:p w14:paraId="77A5B376" w14:textId="77777777" w:rsidR="003048A3" w:rsidRDefault="003048A3">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14:paraId="2AE2A810" w14:textId="77777777" w:rsidR="003048A3" w:rsidRDefault="00B110F5">
          <w:pPr>
            <w:jc w:val="center"/>
            <w:rPr>
              <w:sz w:val="20"/>
              <w:szCs w:val="20"/>
            </w:rPr>
          </w:pPr>
          <w:r>
            <w:rPr>
              <w:sz w:val="20"/>
              <w:szCs w:val="20"/>
            </w:rPr>
            <w:t>PRESENTACIÓN PONENCIAS</w:t>
          </w:r>
        </w:p>
      </w:tc>
      <w:tc>
        <w:tcPr>
          <w:tcW w:w="2234" w:type="dxa"/>
          <w:tcBorders>
            <w:top w:val="single" w:sz="4" w:space="0" w:color="000000"/>
            <w:left w:val="nil"/>
            <w:bottom w:val="single" w:sz="4" w:space="0" w:color="000000"/>
            <w:right w:val="single" w:sz="4" w:space="0" w:color="000000"/>
          </w:tcBorders>
          <w:vAlign w:val="center"/>
        </w:tcPr>
        <w:p w14:paraId="545625EF" w14:textId="77777777" w:rsidR="003048A3" w:rsidRDefault="00B110F5">
          <w:pPr>
            <w:rPr>
              <w:sz w:val="16"/>
              <w:szCs w:val="16"/>
            </w:rPr>
          </w:pPr>
          <w:r>
            <w:rPr>
              <w:sz w:val="16"/>
              <w:szCs w:val="16"/>
            </w:rPr>
            <w:t>VERSIÓN:    01</w:t>
          </w:r>
        </w:p>
      </w:tc>
    </w:tr>
    <w:tr w:rsidR="003048A3" w14:paraId="249B52CA" w14:textId="77777777">
      <w:trPr>
        <w:trHeight w:val="454"/>
      </w:trPr>
      <w:tc>
        <w:tcPr>
          <w:tcW w:w="2361" w:type="dxa"/>
          <w:vMerge/>
          <w:tcBorders>
            <w:top w:val="single" w:sz="4" w:space="0" w:color="000000"/>
            <w:left w:val="single" w:sz="4" w:space="0" w:color="000000"/>
            <w:right w:val="single" w:sz="4" w:space="0" w:color="000000"/>
          </w:tcBorders>
          <w:vAlign w:val="center"/>
        </w:tcPr>
        <w:p w14:paraId="214BF733" w14:textId="77777777" w:rsidR="003048A3" w:rsidRDefault="003048A3">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14:paraId="7A571E9D" w14:textId="77777777" w:rsidR="003048A3" w:rsidRDefault="003048A3">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14:paraId="7B3E6AFD" w14:textId="77777777" w:rsidR="003048A3" w:rsidRDefault="00B110F5">
          <w:pPr>
            <w:rPr>
              <w:sz w:val="16"/>
              <w:szCs w:val="16"/>
            </w:rPr>
          </w:pPr>
          <w:r>
            <w:rPr>
              <w:sz w:val="16"/>
              <w:szCs w:val="16"/>
            </w:rPr>
            <w:t>FECHA: 14-Nov-2019</w:t>
          </w:r>
        </w:p>
      </w:tc>
    </w:tr>
  </w:tbl>
  <w:p w14:paraId="75C3D1FE" w14:textId="77777777" w:rsidR="003048A3" w:rsidRDefault="00B110F5">
    <w:pPr>
      <w:jc w:val="both"/>
    </w:pPr>
    <w:r>
      <w:rPr>
        <w:noProof/>
        <w:lang w:val="es-419" w:eastAsia="es-419"/>
      </w:rPr>
      <w:drawing>
        <wp:anchor distT="0" distB="0" distL="0" distR="0" simplePos="0" relativeHeight="251658240" behindDoc="1" locked="0" layoutInCell="1" hidden="0" allowOverlap="1" wp14:anchorId="6A89EFAA" wp14:editId="48BC4F48">
          <wp:simplePos x="0" y="0"/>
          <wp:positionH relativeFrom="column">
            <wp:posOffset>327025</wp:posOffset>
          </wp:positionH>
          <wp:positionV relativeFrom="paragraph">
            <wp:posOffset>-895340</wp:posOffset>
          </wp:positionV>
          <wp:extent cx="752475" cy="885825"/>
          <wp:effectExtent l="0" t="0" r="0" b="0"/>
          <wp:wrapNone/>
          <wp:docPr id="21060646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p w14:paraId="745BE978" w14:textId="77777777" w:rsidR="00146FE5" w:rsidRDefault="00146FE5"/>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0B60D4"/>
    <w:multiLevelType w:val="hybridMultilevel"/>
    <w:tmpl w:val="F82C589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7980E53"/>
    <w:multiLevelType w:val="hybridMultilevel"/>
    <w:tmpl w:val="3F4E1CE8"/>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81411E0"/>
    <w:multiLevelType w:val="hybridMultilevel"/>
    <w:tmpl w:val="B35AF73A"/>
    <w:lvl w:ilvl="0" w:tplc="240A0015">
      <w:start w:val="1"/>
      <w:numFmt w:val="upp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 w15:restartNumberingAfterBreak="0">
    <w:nsid w:val="0A68595B"/>
    <w:multiLevelType w:val="multilevel"/>
    <w:tmpl w:val="06E26238"/>
    <w:lvl w:ilvl="0">
      <w:start w:val="1"/>
      <w:numFmt w:val="upp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BB00B04"/>
    <w:multiLevelType w:val="hybridMultilevel"/>
    <w:tmpl w:val="FA60021E"/>
    <w:lvl w:ilvl="0" w:tplc="8F30B91C">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2A03D18"/>
    <w:multiLevelType w:val="multilevel"/>
    <w:tmpl w:val="EB76C7A8"/>
    <w:lvl w:ilvl="0">
      <w:start w:val="1"/>
      <w:numFmt w:val="decimal"/>
      <w:lvlText w:val="%1."/>
      <w:lvlJc w:val="left"/>
      <w:pPr>
        <w:ind w:left="36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6155A74"/>
    <w:multiLevelType w:val="hybridMultilevel"/>
    <w:tmpl w:val="EB2A46F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7" w15:restartNumberingAfterBreak="0">
    <w:nsid w:val="19D003A2"/>
    <w:multiLevelType w:val="hybridMultilevel"/>
    <w:tmpl w:val="DE587B5A"/>
    <w:lvl w:ilvl="0" w:tplc="240A0015">
      <w:start w:val="1"/>
      <w:numFmt w:val="upp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8" w15:restartNumberingAfterBreak="0">
    <w:nsid w:val="28A616FB"/>
    <w:multiLevelType w:val="multilevel"/>
    <w:tmpl w:val="AF4209E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A0D6023"/>
    <w:multiLevelType w:val="multilevel"/>
    <w:tmpl w:val="DD22F10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D944031"/>
    <w:multiLevelType w:val="hybridMultilevel"/>
    <w:tmpl w:val="C2C456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9AB072D"/>
    <w:multiLevelType w:val="multilevel"/>
    <w:tmpl w:val="08C819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BDE66E7"/>
    <w:multiLevelType w:val="multilevel"/>
    <w:tmpl w:val="E090B944"/>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02B666E"/>
    <w:multiLevelType w:val="hybridMultilevel"/>
    <w:tmpl w:val="AB30C6E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0F54629"/>
    <w:multiLevelType w:val="multilevel"/>
    <w:tmpl w:val="9BEC2F3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1883B89"/>
    <w:multiLevelType w:val="multilevel"/>
    <w:tmpl w:val="5A6AF49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38D4ADE"/>
    <w:multiLevelType w:val="multilevel"/>
    <w:tmpl w:val="FAF649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4984D1D"/>
    <w:multiLevelType w:val="multilevel"/>
    <w:tmpl w:val="2CCAC4C6"/>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5B4464B"/>
    <w:multiLevelType w:val="multilevel"/>
    <w:tmpl w:val="FF8E9FB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B31698B"/>
    <w:multiLevelType w:val="multilevel"/>
    <w:tmpl w:val="844011A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12A05A2"/>
    <w:multiLevelType w:val="multilevel"/>
    <w:tmpl w:val="9DD69F7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2583910"/>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5D8B56EE"/>
    <w:multiLevelType w:val="multilevel"/>
    <w:tmpl w:val="69DA5A8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653495A"/>
    <w:multiLevelType w:val="hybridMultilevel"/>
    <w:tmpl w:val="765C33D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6B8B0B2B"/>
    <w:multiLevelType w:val="multilevel"/>
    <w:tmpl w:val="6696F6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EDF229A"/>
    <w:multiLevelType w:val="multilevel"/>
    <w:tmpl w:val="5CC2022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91C05C0"/>
    <w:multiLevelType w:val="multilevel"/>
    <w:tmpl w:val="8A52EB9E"/>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27" w15:restartNumberingAfterBreak="0">
    <w:nsid w:val="7C9E1B3A"/>
    <w:multiLevelType w:val="hybridMultilevel"/>
    <w:tmpl w:val="7A4E608C"/>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7DC5344B"/>
    <w:multiLevelType w:val="multilevel"/>
    <w:tmpl w:val="CDD4CFE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8"/>
  </w:num>
  <w:num w:numId="2">
    <w:abstractNumId w:val="9"/>
  </w:num>
  <w:num w:numId="3">
    <w:abstractNumId w:val="22"/>
  </w:num>
  <w:num w:numId="4">
    <w:abstractNumId w:val="19"/>
  </w:num>
  <w:num w:numId="5">
    <w:abstractNumId w:val="8"/>
  </w:num>
  <w:num w:numId="6">
    <w:abstractNumId w:val="28"/>
  </w:num>
  <w:num w:numId="7">
    <w:abstractNumId w:val="14"/>
  </w:num>
  <w:num w:numId="8">
    <w:abstractNumId w:val="12"/>
  </w:num>
  <w:num w:numId="9">
    <w:abstractNumId w:val="24"/>
  </w:num>
  <w:num w:numId="10">
    <w:abstractNumId w:val="25"/>
  </w:num>
  <w:num w:numId="11">
    <w:abstractNumId w:val="20"/>
  </w:num>
  <w:num w:numId="12">
    <w:abstractNumId w:val="26"/>
  </w:num>
  <w:num w:numId="13">
    <w:abstractNumId w:val="17"/>
  </w:num>
  <w:num w:numId="14">
    <w:abstractNumId w:val="15"/>
  </w:num>
  <w:num w:numId="15">
    <w:abstractNumId w:val="5"/>
  </w:num>
  <w:num w:numId="16">
    <w:abstractNumId w:val="6"/>
  </w:num>
  <w:num w:numId="17">
    <w:abstractNumId w:val="10"/>
  </w:num>
  <w:num w:numId="18">
    <w:abstractNumId w:val="23"/>
  </w:num>
  <w:num w:numId="19">
    <w:abstractNumId w:val="27"/>
  </w:num>
  <w:num w:numId="20">
    <w:abstractNumId w:val="4"/>
  </w:num>
  <w:num w:numId="21">
    <w:abstractNumId w:val="21"/>
  </w:num>
  <w:num w:numId="22">
    <w:abstractNumId w:val="3"/>
  </w:num>
  <w:num w:numId="23">
    <w:abstractNumId w:val="7"/>
  </w:num>
  <w:num w:numId="24">
    <w:abstractNumId w:val="2"/>
  </w:num>
  <w:num w:numId="25">
    <w:abstractNumId w:val="1"/>
  </w:num>
  <w:num w:numId="26">
    <w:abstractNumId w:val="13"/>
  </w:num>
  <w:num w:numId="27">
    <w:abstractNumId w:val="0"/>
  </w:num>
  <w:num w:numId="28">
    <w:abstractNumId w:val="11"/>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48A3"/>
    <w:rsid w:val="00031B81"/>
    <w:rsid w:val="000729B4"/>
    <w:rsid w:val="00081430"/>
    <w:rsid w:val="00146FE5"/>
    <w:rsid w:val="001A3708"/>
    <w:rsid w:val="001D2355"/>
    <w:rsid w:val="00227137"/>
    <w:rsid w:val="0024105A"/>
    <w:rsid w:val="003048A3"/>
    <w:rsid w:val="003054A3"/>
    <w:rsid w:val="00362084"/>
    <w:rsid w:val="003F1FC3"/>
    <w:rsid w:val="00432377"/>
    <w:rsid w:val="00520B34"/>
    <w:rsid w:val="00607FE2"/>
    <w:rsid w:val="00672CD7"/>
    <w:rsid w:val="006B1E01"/>
    <w:rsid w:val="006D3E22"/>
    <w:rsid w:val="006F54E8"/>
    <w:rsid w:val="00765B75"/>
    <w:rsid w:val="00783795"/>
    <w:rsid w:val="007F792F"/>
    <w:rsid w:val="008439C4"/>
    <w:rsid w:val="008A1969"/>
    <w:rsid w:val="00910AF2"/>
    <w:rsid w:val="00911052"/>
    <w:rsid w:val="0097400F"/>
    <w:rsid w:val="009761A5"/>
    <w:rsid w:val="009A27ED"/>
    <w:rsid w:val="009B04E8"/>
    <w:rsid w:val="00A06E1B"/>
    <w:rsid w:val="00A52BFB"/>
    <w:rsid w:val="00B00C25"/>
    <w:rsid w:val="00B110F5"/>
    <w:rsid w:val="00BC5BB0"/>
    <w:rsid w:val="00C07FE1"/>
    <w:rsid w:val="00C42CB0"/>
    <w:rsid w:val="00CA6B38"/>
    <w:rsid w:val="00CC3383"/>
    <w:rsid w:val="00CF12C0"/>
    <w:rsid w:val="00CF5211"/>
    <w:rsid w:val="00CF6063"/>
    <w:rsid w:val="00D32856"/>
    <w:rsid w:val="00D625BB"/>
    <w:rsid w:val="00D665A9"/>
    <w:rsid w:val="00D7722C"/>
    <w:rsid w:val="00DA6DFC"/>
    <w:rsid w:val="00DD44FA"/>
    <w:rsid w:val="00DE1A3E"/>
    <w:rsid w:val="00ED4C9F"/>
    <w:rsid w:val="00EE2B77"/>
    <w:rsid w:val="00F128B0"/>
    <w:rsid w:val="00FB4D9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8F6AA3"/>
  <w15:docId w15:val="{2A8FD815-59FA-49CE-BDDB-53D2470FB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68BB"/>
    <w:rPr>
      <w:color w:val="000000"/>
    </w:rPr>
  </w:style>
  <w:style w:type="paragraph" w:styleId="Ttulo1">
    <w:name w:val="heading 1"/>
    <w:basedOn w:val="Normal"/>
    <w:next w:val="Normal"/>
    <w:link w:val="Ttulo1Car"/>
    <w:uiPriority w:val="9"/>
    <w:qFormat/>
    <w:rsid w:val="009B68B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9B68B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9B68B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9B68B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9B68B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9B68B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9B68B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9B68B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9B68B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9B68BB"/>
    <w:pPr>
      <w:spacing w:after="80"/>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9"/>
    <w:rsid w:val="009B68B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9"/>
    <w:semiHidden/>
    <w:rsid w:val="009B68B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9B68B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9"/>
    <w:rsid w:val="009B68B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9"/>
    <w:semiHidden/>
    <w:rsid w:val="009B68B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9B68B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9B68B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9B68B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9B68BB"/>
    <w:rPr>
      <w:rFonts w:eastAsiaTheme="majorEastAsia" w:cstheme="majorBidi"/>
      <w:color w:val="272727" w:themeColor="text1" w:themeTint="D8"/>
    </w:rPr>
  </w:style>
  <w:style w:type="character" w:customStyle="1" w:styleId="TtuloCar">
    <w:name w:val="Título Car"/>
    <w:basedOn w:val="Fuentedeprrafopredeter"/>
    <w:link w:val="Ttulo"/>
    <w:uiPriority w:val="10"/>
    <w:rsid w:val="009B68B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rPr>
      <w:color w:val="595959"/>
      <w:sz w:val="28"/>
      <w:szCs w:val="28"/>
    </w:rPr>
  </w:style>
  <w:style w:type="character" w:customStyle="1" w:styleId="SubttuloCar">
    <w:name w:val="Subtítulo Car"/>
    <w:basedOn w:val="Fuentedeprrafopredeter"/>
    <w:link w:val="Subttulo"/>
    <w:uiPriority w:val="11"/>
    <w:rsid w:val="009B68B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9B68BB"/>
    <w:pPr>
      <w:spacing w:before="160"/>
      <w:jc w:val="center"/>
    </w:pPr>
    <w:rPr>
      <w:i/>
      <w:iCs/>
      <w:color w:val="404040" w:themeColor="text1" w:themeTint="BF"/>
    </w:rPr>
  </w:style>
  <w:style w:type="character" w:customStyle="1" w:styleId="CitaCar">
    <w:name w:val="Cita Car"/>
    <w:basedOn w:val="Fuentedeprrafopredeter"/>
    <w:link w:val="Cita"/>
    <w:uiPriority w:val="29"/>
    <w:rsid w:val="009B68BB"/>
    <w:rPr>
      <w:i/>
      <w:iCs/>
      <w:color w:val="404040" w:themeColor="text1" w:themeTint="BF"/>
    </w:rPr>
  </w:style>
  <w:style w:type="paragraph" w:styleId="Prrafodelista">
    <w:name w:val="List Paragraph"/>
    <w:aliases w:val="List1,LISTA,Párrafo de lista1,Ha,Resume Title,Bullet List,FooterText,numbered,List Paragraph1,Paragraphe de liste1,lp1,HOJA,Colorful List Accent 1,Colorful List - Accent 11,titulo 3,Colorful List - Accent 111,Bullets,Párrafo de lista2"/>
    <w:basedOn w:val="Normal"/>
    <w:link w:val="PrrafodelistaCar"/>
    <w:uiPriority w:val="34"/>
    <w:qFormat/>
    <w:rsid w:val="009B68BB"/>
    <w:pPr>
      <w:ind w:left="720"/>
      <w:contextualSpacing/>
    </w:pPr>
  </w:style>
  <w:style w:type="character" w:styleId="nfasisintenso">
    <w:name w:val="Intense Emphasis"/>
    <w:basedOn w:val="Fuentedeprrafopredeter"/>
    <w:uiPriority w:val="21"/>
    <w:qFormat/>
    <w:rsid w:val="009B68BB"/>
    <w:rPr>
      <w:i/>
      <w:iCs/>
      <w:color w:val="0F4761" w:themeColor="accent1" w:themeShade="BF"/>
    </w:rPr>
  </w:style>
  <w:style w:type="paragraph" w:styleId="Citadestacada">
    <w:name w:val="Intense Quote"/>
    <w:basedOn w:val="Normal"/>
    <w:next w:val="Normal"/>
    <w:link w:val="CitadestacadaCar"/>
    <w:uiPriority w:val="30"/>
    <w:qFormat/>
    <w:rsid w:val="009B68B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9B68BB"/>
    <w:rPr>
      <w:i/>
      <w:iCs/>
      <w:color w:val="0F4761" w:themeColor="accent1" w:themeShade="BF"/>
    </w:rPr>
  </w:style>
  <w:style w:type="character" w:styleId="Referenciaintensa">
    <w:name w:val="Intense Reference"/>
    <w:basedOn w:val="Fuentedeprrafopredeter"/>
    <w:uiPriority w:val="32"/>
    <w:qFormat/>
    <w:rsid w:val="009B68BB"/>
    <w:rPr>
      <w:b/>
      <w:bCs/>
      <w:smallCaps/>
      <w:color w:val="0F4761" w:themeColor="accent1" w:themeShade="BF"/>
      <w:spacing w:val="5"/>
    </w:rPr>
  </w:style>
  <w:style w:type="table" w:customStyle="1" w:styleId="TableNormal4">
    <w:name w:val="Table Normal"/>
    <w:rsid w:val="009B68BB"/>
    <w:tblPr>
      <w:tblCellMar>
        <w:top w:w="0" w:type="dxa"/>
        <w:left w:w="0" w:type="dxa"/>
        <w:bottom w:w="0" w:type="dxa"/>
        <w:right w:w="0" w:type="dxa"/>
      </w:tblCellMar>
    </w:tblPr>
  </w:style>
  <w:style w:type="paragraph" w:styleId="Encabezado">
    <w:name w:val="header"/>
    <w:basedOn w:val="Normal"/>
    <w:link w:val="EncabezadoCar"/>
    <w:uiPriority w:val="99"/>
    <w:rsid w:val="009B68BB"/>
    <w:pPr>
      <w:tabs>
        <w:tab w:val="center" w:pos="4252"/>
        <w:tab w:val="right" w:pos="8504"/>
      </w:tabs>
    </w:pPr>
  </w:style>
  <w:style w:type="character" w:customStyle="1" w:styleId="EncabezadoCar">
    <w:name w:val="Encabezado Car"/>
    <w:basedOn w:val="Fuentedeprrafopredeter"/>
    <w:link w:val="Encabezado"/>
    <w:uiPriority w:val="99"/>
    <w:rsid w:val="009B68BB"/>
    <w:rPr>
      <w:rFonts w:ascii="Arial" w:eastAsia="Arial" w:hAnsi="Arial" w:cs="Arial"/>
      <w:color w:val="000000"/>
      <w:kern w:val="0"/>
      <w:sz w:val="24"/>
      <w:szCs w:val="24"/>
      <w:lang w:val="es-ES" w:eastAsia="es-CO"/>
    </w:rPr>
  </w:style>
  <w:style w:type="paragraph" w:styleId="Piedepgina">
    <w:name w:val="footer"/>
    <w:basedOn w:val="Normal"/>
    <w:link w:val="PiedepginaCar"/>
    <w:uiPriority w:val="99"/>
    <w:rsid w:val="009B68BB"/>
    <w:pPr>
      <w:tabs>
        <w:tab w:val="center" w:pos="4252"/>
        <w:tab w:val="right" w:pos="8504"/>
      </w:tabs>
    </w:pPr>
  </w:style>
  <w:style w:type="character" w:customStyle="1" w:styleId="PiedepginaCar">
    <w:name w:val="Pie de página Car"/>
    <w:basedOn w:val="Fuentedeprrafopredeter"/>
    <w:link w:val="Piedepgina"/>
    <w:uiPriority w:val="99"/>
    <w:rsid w:val="009B68BB"/>
    <w:rPr>
      <w:rFonts w:ascii="Arial" w:eastAsia="Arial" w:hAnsi="Arial" w:cs="Arial"/>
      <w:color w:val="000000"/>
      <w:kern w:val="0"/>
      <w:sz w:val="24"/>
      <w:szCs w:val="24"/>
      <w:lang w:val="es-ES" w:eastAsia="es-CO"/>
    </w:rPr>
  </w:style>
  <w:style w:type="paragraph" w:styleId="Textoindependiente">
    <w:name w:val="Body Text"/>
    <w:basedOn w:val="Normal"/>
    <w:link w:val="TextoindependienteCar"/>
    <w:uiPriority w:val="99"/>
    <w:rsid w:val="009B68B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rsid w:val="009B68BB"/>
    <w:rPr>
      <w:rFonts w:ascii="Times New Roman" w:eastAsia="Arial" w:hAnsi="Times New Roman" w:cs="Arial"/>
      <w:kern w:val="0"/>
      <w:sz w:val="24"/>
      <w:szCs w:val="24"/>
      <w:lang w:val="es-MX" w:eastAsia="es-CO"/>
    </w:rPr>
  </w:style>
  <w:style w:type="character" w:styleId="Refdecomentario">
    <w:name w:val="annotation reference"/>
    <w:basedOn w:val="Fuentedeprrafopredeter"/>
    <w:uiPriority w:val="99"/>
    <w:semiHidden/>
    <w:rsid w:val="009B68BB"/>
    <w:rPr>
      <w:rFonts w:cs="Times New Roman"/>
      <w:sz w:val="16"/>
    </w:rPr>
  </w:style>
  <w:style w:type="paragraph" w:styleId="Textocomentario">
    <w:name w:val="annotation text"/>
    <w:basedOn w:val="Normal"/>
    <w:link w:val="TextocomentarioCar"/>
    <w:uiPriority w:val="99"/>
    <w:semiHidden/>
    <w:rsid w:val="009B68BB"/>
    <w:rPr>
      <w:sz w:val="20"/>
    </w:rPr>
  </w:style>
  <w:style w:type="character" w:customStyle="1" w:styleId="TextocomentarioCar">
    <w:name w:val="Texto comentario Car"/>
    <w:basedOn w:val="Fuentedeprrafopredeter"/>
    <w:link w:val="Textocomentario"/>
    <w:uiPriority w:val="99"/>
    <w:semiHidden/>
    <w:rsid w:val="009B68BB"/>
    <w:rPr>
      <w:rFonts w:ascii="Arial" w:eastAsia="Arial" w:hAnsi="Arial" w:cs="Arial"/>
      <w:color w:val="000000"/>
      <w:kern w:val="0"/>
      <w:sz w:val="20"/>
      <w:szCs w:val="24"/>
      <w:lang w:val="es-ES" w:eastAsia="es-CO"/>
    </w:rPr>
  </w:style>
  <w:style w:type="table" w:styleId="Tablaconcuadrcula">
    <w:name w:val="Table Grid"/>
    <w:basedOn w:val="Tablanormal"/>
    <w:uiPriority w:val="39"/>
    <w:rsid w:val="009B6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9B68BB"/>
    <w:rPr>
      <w:rFonts w:cs="Times New Roman"/>
      <w:color w:val="0000FF"/>
      <w:u w:val="single"/>
    </w:rPr>
  </w:style>
  <w:style w:type="character" w:styleId="Nmerodepgina">
    <w:name w:val="page number"/>
    <w:basedOn w:val="Fuentedeprrafopredeter"/>
    <w:uiPriority w:val="99"/>
    <w:rsid w:val="009B68BB"/>
    <w:rPr>
      <w:rFonts w:cs="Times New Roman"/>
    </w:rPr>
  </w:style>
  <w:style w:type="paragraph" w:styleId="Textoindependiente2">
    <w:name w:val="Body Text 2"/>
    <w:basedOn w:val="Normal"/>
    <w:link w:val="Textoindependiente2Car"/>
    <w:uiPriority w:val="99"/>
    <w:rsid w:val="009B68B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rsid w:val="009B68BB"/>
    <w:rPr>
      <w:rFonts w:ascii="Times New Roman" w:eastAsia="Arial" w:hAnsi="Times New Roman" w:cs="Arial"/>
      <w:kern w:val="0"/>
      <w:sz w:val="24"/>
      <w:szCs w:val="24"/>
      <w:lang w:val="es-ES" w:eastAsia="es-CO"/>
    </w:rPr>
  </w:style>
  <w:style w:type="paragraph" w:styleId="Textoindependiente3">
    <w:name w:val="Body Text 3"/>
    <w:basedOn w:val="Normal"/>
    <w:link w:val="Textoindependiente3Car"/>
    <w:uiPriority w:val="99"/>
    <w:rsid w:val="009B68BB"/>
    <w:pPr>
      <w:spacing w:after="120"/>
    </w:pPr>
    <w:rPr>
      <w:sz w:val="16"/>
      <w:szCs w:val="16"/>
    </w:rPr>
  </w:style>
  <w:style w:type="character" w:customStyle="1" w:styleId="Textoindependiente3Car">
    <w:name w:val="Texto independiente 3 Car"/>
    <w:basedOn w:val="Fuentedeprrafopredeter"/>
    <w:link w:val="Textoindependiente3"/>
    <w:uiPriority w:val="99"/>
    <w:rsid w:val="009B68BB"/>
    <w:rPr>
      <w:rFonts w:ascii="Arial" w:eastAsia="Arial" w:hAnsi="Arial" w:cs="Arial"/>
      <w:color w:val="000000"/>
      <w:kern w:val="0"/>
      <w:sz w:val="16"/>
      <w:szCs w:val="16"/>
      <w:lang w:val="es-ES" w:eastAsia="es-CO"/>
    </w:rPr>
  </w:style>
  <w:style w:type="paragraph" w:styleId="Textodeglobo">
    <w:name w:val="Balloon Text"/>
    <w:basedOn w:val="Normal"/>
    <w:link w:val="TextodegloboCar"/>
    <w:uiPriority w:val="99"/>
    <w:semiHidden/>
    <w:rsid w:val="009B68BB"/>
    <w:rPr>
      <w:rFonts w:ascii="Tahoma" w:hAnsi="Tahoma" w:cs="Tahoma"/>
      <w:sz w:val="16"/>
      <w:szCs w:val="16"/>
    </w:rPr>
  </w:style>
  <w:style w:type="character" w:customStyle="1" w:styleId="TextodegloboCar">
    <w:name w:val="Texto de globo Car"/>
    <w:basedOn w:val="Fuentedeprrafopredeter"/>
    <w:link w:val="Textodeglobo"/>
    <w:uiPriority w:val="99"/>
    <w:semiHidden/>
    <w:rsid w:val="009B68BB"/>
    <w:rPr>
      <w:rFonts w:ascii="Tahoma" w:eastAsia="Arial" w:hAnsi="Tahoma" w:cs="Tahoma"/>
      <w:color w:val="000000"/>
      <w:kern w:val="0"/>
      <w:sz w:val="16"/>
      <w:szCs w:val="16"/>
      <w:lang w:val="es-ES" w:eastAsia="es-CO"/>
    </w:rPr>
  </w:style>
  <w:style w:type="paragraph" w:customStyle="1" w:styleId="Table">
    <w:name w:val="Table"/>
    <w:basedOn w:val="Normal"/>
    <w:autoRedefine/>
    <w:uiPriority w:val="99"/>
    <w:rsid w:val="009B68BB"/>
    <w:pPr>
      <w:spacing w:before="40" w:after="40"/>
      <w:ind w:left="4" w:hanging="4"/>
    </w:pPr>
    <w:rPr>
      <w:b/>
      <w:sz w:val="20"/>
      <w:lang w:val="en-GB" w:eastAsia="en-US"/>
    </w:rPr>
  </w:style>
  <w:style w:type="paragraph" w:styleId="Textonotapie">
    <w:name w:val="footnote text"/>
    <w:aliases w:val="Texto nota pie Car1,Texto nota pie Car Car,Texto nota pie Car1 Car1 Car,ft Car1 Car1 Car,Texto nota pie2 Car Car Car,ft1 Car Car Car,ft Car Car Car1 Car Car Car,Texto nota pie Car2 Car Car Car,ft Car Car2 Car Car Car,ft Car Car1 Car Car"/>
    <w:basedOn w:val="Normal"/>
    <w:link w:val="TextonotapieCar"/>
    <w:unhideWhenUsed/>
    <w:rsid w:val="009B68BB"/>
    <w:rPr>
      <w:sz w:val="20"/>
    </w:rPr>
  </w:style>
  <w:style w:type="character" w:customStyle="1" w:styleId="TextonotapieCar">
    <w:name w:val="Texto nota pie Car"/>
    <w:aliases w:val="Texto nota pie Car1 Car,Texto nota pie Car Car Car,Texto nota pie Car1 Car1 Car Car,ft Car1 Car1 Car Car,Texto nota pie2 Car Car Car Car,ft1 Car Car Car Car,ft Car Car Car1 Car Car Car Car,Texto nota pie Car2 Car Car Car Car"/>
    <w:basedOn w:val="Fuentedeprrafopredeter"/>
    <w:link w:val="Textonotapie"/>
    <w:rsid w:val="009B68BB"/>
    <w:rPr>
      <w:rFonts w:ascii="Arial" w:eastAsia="Arial" w:hAnsi="Arial" w:cs="Arial"/>
      <w:color w:val="000000"/>
      <w:kern w:val="0"/>
      <w:sz w:val="20"/>
      <w:szCs w:val="24"/>
      <w:lang w:val="es-ES" w:eastAsia="es-CO"/>
    </w:rPr>
  </w:style>
  <w:style w:type="character" w:styleId="Refdenotaalpie">
    <w:name w:val="footnote reference"/>
    <w:basedOn w:val="Fuentedeprrafopredeter"/>
    <w:uiPriority w:val="99"/>
    <w:unhideWhenUsed/>
    <w:rsid w:val="009B68BB"/>
    <w:rPr>
      <w:vertAlign w:val="superscript"/>
    </w:rPr>
  </w:style>
  <w:style w:type="paragraph" w:styleId="NormalWeb">
    <w:name w:val="Normal (Web)"/>
    <w:basedOn w:val="Normal"/>
    <w:link w:val="NormalWebCar"/>
    <w:uiPriority w:val="99"/>
    <w:rsid w:val="009B68BB"/>
    <w:pPr>
      <w:spacing w:before="100" w:beforeAutospacing="1" w:after="100" w:afterAutospacing="1"/>
    </w:pPr>
    <w:rPr>
      <w:rFonts w:ascii="Times New Roman" w:hAnsi="Times New Roman"/>
      <w:color w:val="auto"/>
      <w:lang w:val="es-CO"/>
    </w:rPr>
  </w:style>
  <w:style w:type="character" w:customStyle="1" w:styleId="PrrafodelistaCar">
    <w:name w:val="Párrafo de lista Car"/>
    <w:aliases w:val="List1 Car,LISTA Car,Párrafo de lista1 Car,Ha Car,Resume Title Car,Bullet List Car,FooterText Car,numbered Car,List Paragraph1 Car,Paragraphe de liste1 Car,lp1 Car,HOJA Car,Colorful List Accent 1 Car,Colorful List - Accent 11 Car"/>
    <w:link w:val="Prrafodelista"/>
    <w:uiPriority w:val="34"/>
    <w:qFormat/>
    <w:rsid w:val="009B68BB"/>
  </w:style>
  <w:style w:type="character" w:customStyle="1" w:styleId="NormalWebCar">
    <w:name w:val="Normal (Web) Car"/>
    <w:link w:val="NormalWeb"/>
    <w:uiPriority w:val="99"/>
    <w:locked/>
    <w:rsid w:val="009B68BB"/>
    <w:rPr>
      <w:rFonts w:ascii="Times New Roman" w:eastAsia="Arial" w:hAnsi="Times New Roman" w:cs="Arial"/>
      <w:kern w:val="0"/>
      <w:sz w:val="24"/>
      <w:szCs w:val="24"/>
      <w:lang w:eastAsia="es-CO"/>
    </w:rPr>
  </w:style>
  <w:style w:type="paragraph" w:styleId="Sinespaciado">
    <w:name w:val="No Spacing"/>
    <w:uiPriority w:val="1"/>
    <w:qFormat/>
    <w:rsid w:val="009B68BB"/>
  </w:style>
  <w:style w:type="paragraph" w:styleId="Revisin">
    <w:name w:val="Revision"/>
    <w:hidden/>
    <w:uiPriority w:val="99"/>
    <w:semiHidden/>
    <w:rsid w:val="009B68BB"/>
    <w:rPr>
      <w:color w:val="000000"/>
    </w:rPr>
  </w:style>
  <w:style w:type="paragraph" w:styleId="Textonotaalfinal">
    <w:name w:val="endnote text"/>
    <w:basedOn w:val="Normal"/>
    <w:link w:val="TextonotaalfinalCar"/>
    <w:uiPriority w:val="99"/>
    <w:semiHidden/>
    <w:unhideWhenUsed/>
    <w:rsid w:val="009B68BB"/>
    <w:rPr>
      <w:sz w:val="20"/>
      <w:szCs w:val="20"/>
    </w:rPr>
  </w:style>
  <w:style w:type="character" w:customStyle="1" w:styleId="TextonotaalfinalCar">
    <w:name w:val="Texto nota al final Car"/>
    <w:basedOn w:val="Fuentedeprrafopredeter"/>
    <w:link w:val="Textonotaalfinal"/>
    <w:uiPriority w:val="99"/>
    <w:semiHidden/>
    <w:rsid w:val="009B68BB"/>
    <w:rPr>
      <w:rFonts w:ascii="Arial" w:eastAsia="Arial" w:hAnsi="Arial" w:cs="Arial"/>
      <w:color w:val="000000"/>
      <w:kern w:val="0"/>
      <w:sz w:val="20"/>
      <w:szCs w:val="20"/>
      <w:lang w:val="es-ES" w:eastAsia="es-CO"/>
    </w:rPr>
  </w:style>
  <w:style w:type="character" w:styleId="Refdenotaalfinal">
    <w:name w:val="endnote reference"/>
    <w:basedOn w:val="Fuentedeprrafopredeter"/>
    <w:uiPriority w:val="99"/>
    <w:semiHidden/>
    <w:unhideWhenUsed/>
    <w:rsid w:val="009B68BB"/>
    <w:rPr>
      <w:vertAlign w:val="superscript"/>
    </w:rPr>
  </w:style>
  <w:style w:type="paragraph" w:customStyle="1" w:styleId="elsevierstylepara">
    <w:name w:val="elsevierstylepara"/>
    <w:basedOn w:val="Normal"/>
    <w:rsid w:val="009B68BB"/>
    <w:pPr>
      <w:spacing w:before="100" w:beforeAutospacing="1" w:after="100" w:afterAutospacing="1"/>
    </w:pPr>
    <w:rPr>
      <w:rFonts w:ascii="Times New Roman" w:eastAsia="Times New Roman" w:hAnsi="Times New Roman" w:cs="Times New Roman"/>
      <w:color w:val="auto"/>
      <w:lang w:val="es-CO"/>
    </w:rPr>
  </w:style>
  <w:style w:type="character" w:customStyle="1" w:styleId="elsevierstylesup">
    <w:name w:val="elsevierstylesup"/>
    <w:basedOn w:val="Fuentedeprrafopredeter"/>
    <w:rsid w:val="009B68BB"/>
  </w:style>
  <w:style w:type="paragraph" w:customStyle="1" w:styleId="Default">
    <w:name w:val="Default"/>
    <w:rsid w:val="009B68BB"/>
    <w:pPr>
      <w:autoSpaceDE w:val="0"/>
      <w:autoSpaceDN w:val="0"/>
      <w:adjustRightInd w:val="0"/>
    </w:pPr>
    <w:rPr>
      <w:rFonts w:ascii="Calibri" w:eastAsia="Times New Roman" w:hAnsi="Calibri" w:cs="Calibri"/>
      <w:color w:val="000000"/>
      <w:lang w:eastAsia="es-ES"/>
    </w:rPr>
  </w:style>
  <w:style w:type="character" w:styleId="Textoennegrita">
    <w:name w:val="Strong"/>
    <w:basedOn w:val="Fuentedeprrafopredeter"/>
    <w:uiPriority w:val="22"/>
    <w:qFormat/>
    <w:rsid w:val="009B68BB"/>
    <w:rPr>
      <w:b/>
      <w:bCs/>
    </w:rPr>
  </w:style>
  <w:style w:type="paragraph" w:customStyle="1" w:styleId="ms-rtethemeforecolor-2-4">
    <w:name w:val="ms-rtethemeforecolor-2-4"/>
    <w:basedOn w:val="Normal"/>
    <w:rsid w:val="009B68BB"/>
    <w:pPr>
      <w:spacing w:before="100" w:beforeAutospacing="1" w:after="100" w:afterAutospacing="1"/>
    </w:pPr>
    <w:rPr>
      <w:rFonts w:ascii="Times New Roman" w:eastAsia="Times New Roman" w:hAnsi="Times New Roman" w:cs="Times New Roman"/>
      <w:color w:val="auto"/>
      <w:lang w:val="es-CO"/>
    </w:rPr>
  </w:style>
  <w:style w:type="character" w:styleId="nfasis">
    <w:name w:val="Emphasis"/>
    <w:basedOn w:val="Fuentedeprrafopredeter"/>
    <w:uiPriority w:val="20"/>
    <w:qFormat/>
    <w:rsid w:val="009B68BB"/>
    <w:rPr>
      <w:i/>
      <w:iCs/>
    </w:rPr>
  </w:style>
  <w:style w:type="character" w:customStyle="1" w:styleId="redactor-invisible-space">
    <w:name w:val="redactor-invisible-space"/>
    <w:basedOn w:val="Fuentedeprrafopredeter"/>
    <w:rsid w:val="009B68BB"/>
  </w:style>
  <w:style w:type="paragraph" w:customStyle="1" w:styleId="cuerpo">
    <w:name w:val="cuerpo"/>
    <w:basedOn w:val="Normal"/>
    <w:rsid w:val="009B68BB"/>
    <w:pPr>
      <w:spacing w:before="100" w:beforeAutospacing="1" w:after="100" w:afterAutospacing="1"/>
    </w:pPr>
    <w:rPr>
      <w:rFonts w:ascii="Times New Roman" w:eastAsia="Times New Roman" w:hAnsi="Times New Roman" w:cs="Times New Roman"/>
      <w:color w:val="auto"/>
      <w:lang w:val="es-CO"/>
    </w:rPr>
  </w:style>
  <w:style w:type="character" w:customStyle="1" w:styleId="spelle">
    <w:name w:val="spelle"/>
    <w:basedOn w:val="Fuentedeprrafopredeter"/>
    <w:rsid w:val="009B68BB"/>
  </w:style>
  <w:style w:type="paragraph" w:customStyle="1" w:styleId="subnumeros">
    <w:name w:val="subnumeros"/>
    <w:basedOn w:val="Normal"/>
    <w:rsid w:val="009B68BB"/>
    <w:pPr>
      <w:spacing w:before="100" w:beforeAutospacing="1" w:after="100" w:afterAutospacing="1"/>
    </w:pPr>
    <w:rPr>
      <w:rFonts w:ascii="Times New Roman" w:eastAsia="Times New Roman" w:hAnsi="Times New Roman" w:cs="Times New Roman"/>
      <w:color w:val="auto"/>
      <w:lang w:val="es-CO"/>
    </w:rPr>
  </w:style>
  <w:style w:type="table" w:customStyle="1" w:styleId="a">
    <w:basedOn w:val="TableNormal4"/>
    <w:tblPr>
      <w:tblStyleRowBandSize w:val="1"/>
      <w:tblStyleColBandSize w:val="1"/>
      <w:tblCellMar>
        <w:top w:w="100" w:type="dxa"/>
        <w:left w:w="100" w:type="dxa"/>
        <w:bottom w:w="100" w:type="dxa"/>
        <w:right w:w="100" w:type="dxa"/>
      </w:tblCellMar>
    </w:tblPr>
  </w:style>
  <w:style w:type="table" w:customStyle="1" w:styleId="a0">
    <w:basedOn w:val="TableNormal4"/>
    <w:tblPr>
      <w:tblStyleRowBandSize w:val="1"/>
      <w:tblStyleColBandSize w:val="1"/>
      <w:tblCellMar>
        <w:top w:w="100" w:type="dxa"/>
        <w:left w:w="100" w:type="dxa"/>
        <w:bottom w:w="100" w:type="dxa"/>
        <w:right w:w="100" w:type="dxa"/>
      </w:tblCellMar>
    </w:tblPr>
  </w:style>
  <w:style w:type="table" w:customStyle="1" w:styleId="a1">
    <w:basedOn w:val="TableNormal4"/>
    <w:tblPr>
      <w:tblStyleRowBandSize w:val="1"/>
      <w:tblStyleColBandSize w:val="1"/>
      <w:tblCellMar>
        <w:top w:w="100" w:type="dxa"/>
        <w:left w:w="100" w:type="dxa"/>
        <w:bottom w:w="100" w:type="dxa"/>
        <w:right w:w="100" w:type="dxa"/>
      </w:tblCellMar>
    </w:tblPr>
  </w:style>
  <w:style w:type="table" w:customStyle="1" w:styleId="a2">
    <w:basedOn w:val="TableNormal4"/>
    <w:tblPr>
      <w:tblStyleRowBandSize w:val="1"/>
      <w:tblStyleColBandSize w:val="1"/>
      <w:tblCellMar>
        <w:top w:w="100" w:type="dxa"/>
        <w:left w:w="100" w:type="dxa"/>
        <w:bottom w:w="100" w:type="dxa"/>
        <w:right w:w="100" w:type="dxa"/>
      </w:tblCellMar>
    </w:tblPr>
  </w:style>
  <w:style w:type="table" w:customStyle="1" w:styleId="a3">
    <w:basedOn w:val="TableNormal4"/>
    <w:tblPr>
      <w:tblStyleRowBandSize w:val="1"/>
      <w:tblStyleColBandSize w:val="1"/>
      <w:tblCellMar>
        <w:left w:w="115" w:type="dxa"/>
        <w:right w:w="115" w:type="dxa"/>
      </w:tblCellMar>
    </w:tblPr>
  </w:style>
  <w:style w:type="table" w:customStyle="1" w:styleId="a4">
    <w:basedOn w:val="TableNormal4"/>
    <w:tblPr>
      <w:tblStyleRowBandSize w:val="1"/>
      <w:tblStyleColBandSize w:val="1"/>
      <w:tblCellMar>
        <w:left w:w="115" w:type="dxa"/>
        <w:right w:w="115" w:type="dxa"/>
      </w:tblCellMar>
    </w:tblPr>
  </w:style>
  <w:style w:type="table" w:customStyle="1" w:styleId="a5">
    <w:basedOn w:val="TableNormal4"/>
    <w:tblPr>
      <w:tblStyleRowBandSize w:val="1"/>
      <w:tblStyleColBandSize w:val="1"/>
      <w:tblCellMar>
        <w:left w:w="115" w:type="dxa"/>
        <w:right w:w="115" w:type="dxa"/>
      </w:tblCellMar>
    </w:tblPr>
  </w:style>
  <w:style w:type="table" w:customStyle="1" w:styleId="a6">
    <w:basedOn w:val="TableNormal4"/>
    <w:tblPr>
      <w:tblStyleRowBandSize w:val="1"/>
      <w:tblStyleColBandSize w:val="1"/>
      <w:tblCellMar>
        <w:left w:w="115" w:type="dxa"/>
        <w:right w:w="115" w:type="dxa"/>
      </w:tblCellMar>
    </w:tblPr>
  </w:style>
  <w:style w:type="table" w:customStyle="1" w:styleId="a7">
    <w:basedOn w:val="TableNormal4"/>
    <w:tblPr>
      <w:tblStyleRowBandSize w:val="1"/>
      <w:tblStyleColBandSize w:val="1"/>
      <w:tblCellMar>
        <w:left w:w="115" w:type="dxa"/>
        <w:right w:w="115" w:type="dxa"/>
      </w:tblCellMar>
    </w:tblPr>
  </w:style>
  <w:style w:type="table" w:customStyle="1" w:styleId="a8">
    <w:basedOn w:val="TableNormal4"/>
    <w:tblPr>
      <w:tblStyleRowBandSize w:val="1"/>
      <w:tblStyleColBandSize w:val="1"/>
      <w:tblCellMar>
        <w:left w:w="115" w:type="dxa"/>
        <w:right w:w="115" w:type="dxa"/>
      </w:tblCellMar>
    </w:tblPr>
  </w:style>
  <w:style w:type="table" w:customStyle="1" w:styleId="a9">
    <w:basedOn w:val="TableNormal4"/>
    <w:tblPr>
      <w:tblStyleRowBandSize w:val="1"/>
      <w:tblStyleColBandSize w:val="1"/>
      <w:tblCellMar>
        <w:left w:w="70" w:type="dxa"/>
        <w:right w:w="70" w:type="dxa"/>
      </w:tblCellMar>
    </w:tblPr>
  </w:style>
  <w:style w:type="table" w:customStyle="1" w:styleId="aa">
    <w:basedOn w:val="TableNormal4"/>
    <w:tblPr>
      <w:tblStyleRowBandSize w:val="1"/>
      <w:tblStyleColBandSize w:val="1"/>
      <w:tblCellMar>
        <w:top w:w="100" w:type="dxa"/>
        <w:left w:w="100" w:type="dxa"/>
        <w:bottom w:w="100" w:type="dxa"/>
        <w:right w:w="100" w:type="dxa"/>
      </w:tblCellMar>
    </w:tblPr>
  </w:style>
  <w:style w:type="table" w:customStyle="1" w:styleId="ab">
    <w:basedOn w:val="TableNormal4"/>
    <w:rPr>
      <w:rFonts w:ascii="Times New Roman" w:eastAsia="Times New Roman" w:hAnsi="Times New Roman" w:cs="Times New Roman"/>
      <w:sz w:val="20"/>
      <w:szCs w:val="20"/>
    </w:rPr>
    <w:tblPr>
      <w:tblStyleRowBandSize w:val="1"/>
      <w:tblStyleColBandSize w:val="1"/>
      <w:tblCellMar>
        <w:left w:w="70" w:type="dxa"/>
        <w:right w:w="70" w:type="dxa"/>
      </w:tblCellMar>
    </w:tblPr>
  </w:style>
  <w:style w:type="table" w:customStyle="1" w:styleId="ac">
    <w:basedOn w:val="TableNormal4"/>
    <w:tblPr>
      <w:tblStyleRowBandSize w:val="1"/>
      <w:tblStyleColBandSize w:val="1"/>
      <w:tblCellMar>
        <w:left w:w="115" w:type="dxa"/>
        <w:right w:w="115" w:type="dxa"/>
      </w:tblCellMar>
    </w:tblPr>
  </w:style>
  <w:style w:type="table" w:customStyle="1" w:styleId="ad">
    <w:basedOn w:val="TableNormal4"/>
    <w:tblPr>
      <w:tblStyleRowBandSize w:val="1"/>
      <w:tblStyleColBandSize w:val="1"/>
      <w:tblCellMar>
        <w:left w:w="115" w:type="dxa"/>
        <w:right w:w="115" w:type="dxa"/>
      </w:tblCellMar>
    </w:tblPr>
  </w:style>
  <w:style w:type="table" w:customStyle="1" w:styleId="ae">
    <w:basedOn w:val="TableNormal4"/>
    <w:rPr>
      <w:rFonts w:ascii="Times New Roman" w:eastAsia="Times New Roman" w:hAnsi="Times New Roman" w:cs="Times New Roman"/>
      <w:sz w:val="20"/>
      <w:szCs w:val="20"/>
    </w:rPr>
    <w:tblPr>
      <w:tblStyleRowBandSize w:val="1"/>
      <w:tblStyleColBandSize w:val="1"/>
      <w:tblCellMar>
        <w:left w:w="70" w:type="dxa"/>
        <w:right w:w="70" w:type="dxa"/>
      </w:tblCellMar>
    </w:tblPr>
  </w:style>
  <w:style w:type="table" w:customStyle="1" w:styleId="af">
    <w:basedOn w:val="TableNormal4"/>
    <w:tblPr>
      <w:tblStyleRowBandSize w:val="1"/>
      <w:tblStyleColBandSize w:val="1"/>
      <w:tblCellMar>
        <w:left w:w="115" w:type="dxa"/>
        <w:right w:w="115" w:type="dxa"/>
      </w:tblCellMar>
    </w:tblPr>
  </w:style>
  <w:style w:type="character" w:customStyle="1" w:styleId="apple-tab-span">
    <w:name w:val="apple-tab-span"/>
    <w:basedOn w:val="Fuentedeprrafopredeter"/>
    <w:rsid w:val="00EE2B77"/>
  </w:style>
  <w:style w:type="paragraph" w:customStyle="1" w:styleId="TableParagraph">
    <w:name w:val="Table Paragraph"/>
    <w:basedOn w:val="Normal"/>
    <w:uiPriority w:val="1"/>
    <w:qFormat/>
    <w:rsid w:val="00EE2B77"/>
    <w:pPr>
      <w:widowControl w:val="0"/>
      <w:autoSpaceDE w:val="0"/>
      <w:autoSpaceDN w:val="0"/>
      <w:ind w:left="98"/>
    </w:pPr>
    <w:rPr>
      <w:rFonts w:ascii="Times New Roman" w:eastAsia="Times New Roman" w:hAnsi="Times New Roman" w:cs="Times New Roman"/>
      <w:color w:val="auto"/>
      <w:sz w:val="22"/>
      <w:szCs w:val="22"/>
      <w:lang w:eastAsia="en-US"/>
    </w:rPr>
  </w:style>
  <w:style w:type="character" w:customStyle="1" w:styleId="UnresolvedMention">
    <w:name w:val="Unresolved Mention"/>
    <w:basedOn w:val="Fuentedeprrafopredeter"/>
    <w:uiPriority w:val="99"/>
    <w:semiHidden/>
    <w:unhideWhenUsed/>
    <w:rsid w:val="009B04E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55011438">
      <w:bodyDiv w:val="1"/>
      <w:marLeft w:val="0"/>
      <w:marRight w:val="0"/>
      <w:marTop w:val="0"/>
      <w:marBottom w:val="0"/>
      <w:divBdr>
        <w:top w:val="none" w:sz="0" w:space="0" w:color="auto"/>
        <w:left w:val="none" w:sz="0" w:space="0" w:color="auto"/>
        <w:bottom w:val="none" w:sz="0" w:space="0" w:color="auto"/>
        <w:right w:val="none" w:sz="0" w:space="0" w:color="auto"/>
      </w:divBdr>
    </w:div>
    <w:div w:id="18404656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movilidadbogota.gov.co/web/search/node/buses%2520intermunicipales?page=1" TargetMode="External"/><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ansv.gov.co/es/observatorio/estad%25C3%25ADsticas/historico-victimas"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7Ao7Y2iSKF4KHkqI9gpuRsODJg==">CgMxLjAyCWguMzBqMHpsbDIIaC5namRneHM4AHIhMU9iX3ZIQ3JFSFE5OWpjYWIzTWtEM3BzSHpEOEpVUnVQ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2C4E899-052B-4DD8-84BD-68A7E08A03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4838</Words>
  <Characters>26612</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Eliana Flechas</dc:creator>
  <cp:lastModifiedBy>ANA YOLANDA DURAN RODRIGUEZ</cp:lastModifiedBy>
  <cp:revision>3</cp:revision>
  <cp:lastPrinted>2025-02-24T18:15:00Z</cp:lastPrinted>
  <dcterms:created xsi:type="dcterms:W3CDTF">2025-05-09T21:19:00Z</dcterms:created>
  <dcterms:modified xsi:type="dcterms:W3CDTF">2025-05-09T21:23:00Z</dcterms:modified>
</cp:coreProperties>
</file>